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3a004" w14:textId="be3a0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синхронизации работы систем электронного закупа в отношении углеводородов и добычи урана с работой реестра товаров, работ и услуг, используемых при проведении операций по недропользованию, и их производителей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28 мая 2018 года № 216. Зарегистрирован в Министерстве юстиции Республики Казахстан 19 июня 2018 года № 17095.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131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179 Кодекса Республики Казахстан от 27 декабря 2017 года "О недрах и недропользовании"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синхронизации работы систем электронного закупа в отношении углеводородов и добычи урана с работой реестра товаров, работ и услуг, используемых при проведении операций по недропользованию, и их производителей.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недропользования Министерства энергетики Республики Казахстан в установленном законодательством порядке Республики Казахстан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энергетики Республики Казахстан после его официального опубликования;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2), 3) и 4)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29 июня 2018 года и подлежит официальному опубликованию.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______________Д. 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"_____" __________ 2018 года</w:t>
      </w:r>
    </w:p>
    <w:p>
      <w:pPr>
        <w:spacing w:after="0"/>
        <w:ind w:left="0"/>
        <w:jc w:val="both"/>
      </w:pPr>
      <w:bookmarkStart w:name="z21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инвестициям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______________Ж. Қасымбек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"_____" __________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2018 года № 216</w:t>
            </w:r>
          </w:p>
        </w:tc>
      </w:tr>
    </w:tbl>
    <w:bookmarkStart w:name="z2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синхронизации работ систем электронного закупа в отношении углеводородов и добычи урана с работой реестра товаров, работ и услуг, используемых при проведении операций по недропользованию, и их производителей</w:t>
      </w:r>
    </w:p>
    <w:bookmarkEnd w:id="12"/>
    <w:bookmarkStart w:name="z2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синхронизации работ систем электронного закупа в отношении углеводородов и добычи урана с работой реестра товаров, работ и услуг, используемых при проведении операций по недропользованию, и их производителей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131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179 Кодекса Республики Казахстан от 27 декабря 2017 года "О недрах и недропользовании" (далее - Кодекс) и определяют порядок синхронизации работ систем электронного закупа в отношении углеводородов и добычи урана с работой реестра товаров, работ и услуг, используемых при проведении операций по недропользованию, и их производителей.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понятия и определения, установленные в Кодексе, а также следующие понятия: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реестр товаров, работ и услуг, используемых при проведении операций по недропользованию, и их производителей (далее – Реестр) – государственная информационная система, предназначенная для контроля и мониторинга закупа товаров, работ и услуг, используемых при проведении операций по недропользованию, и их производителей, а также проведения электронных закупок и формирования перечня товаров, работ и услуг, используемых при проведении операций по недропользованию;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в области твердых полезных ископаемых – уполномоченный орган, реализующий государственную политику по регулированию операций по разведке и добыче твердых полезных ископаемых, за исключением урана;</w:t>
      </w:r>
    </w:p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заявитель – физическое или юридическое лицо, являющееся собственником и (или) владельцем системы электронного закупа и подавшее заявку на реализацию синхронизации работы систем электронного закупа в отношении твердых полезных ископаемых с работой Реестра (далее – заявка);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в области углеводородов и добычи урана – уполномоченный орган, реализующий государственную политику в области углеводородов и добычи урана.</w:t>
      </w:r>
    </w:p>
    <w:bookmarkEnd w:id="18"/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сервис – набор операций, которые реализуют определенную логику и доступны для сетевого взаимодействия через интерфейсы, основанные на передаче электронных сообщений;</w:t>
      </w:r>
    </w:p>
    <w:bookmarkEnd w:id="19"/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Под синхронизацией работ систем электронного закупа с работой Реестра (далее – синхронизация работ) понимается передача посредством информационного взаимодействия информации,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подписанной электронной цифровой подписью, из системы электронного закупа, расположенной в казахстанском сегменте Интернета, в Реестр.</w:t>
      </w:r>
    </w:p>
    <w:bookmarkEnd w:id="20"/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Участниками синхронизации работ являются уполномоченный орган в области твердых полезных ископаемых, уполномоченный орган в области углеводородов и добычи урана и заявитель.</w:t>
      </w:r>
    </w:p>
    <w:bookmarkEnd w:id="21"/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мероприятий по синхронизации работ уполномоченный орган в области твердых полезных ископаемых создает рабочую группу, в состав которой входят его представители и представители уполномоченного органа в области углеводородов и добычи урана.</w:t>
      </w:r>
    </w:p>
    <w:bookmarkEnd w:id="22"/>
    <w:bookmarkStart w:name="z4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синхронизации работы систем электронного закупа в отношении углеводородов и добычи урана с работой Реестра</w:t>
      </w:r>
    </w:p>
    <w:bookmarkEnd w:id="23"/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Подача и рассмотрение заявки на осуществление синхронизации работ осуществляются в следующем порядке:</w:t>
      </w:r>
    </w:p>
    <w:bookmarkEnd w:id="24"/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заявителем подается заявка в уполномоченный орган в области твердых полезных ископаемых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 приложением нотариально засвидетельствованной копии аттестата соответствия требованиям информационной безопасности;</w:t>
      </w:r>
    </w:p>
    <w:bookmarkEnd w:id="25"/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в области твердых полезных ископаемых в течение пяти рабочих дней со дня получения заявки осуществляет проверку соответствия заявки подпункту 1) настоящего пункта, в случае соответствия которому уполномоченный орган в области твердых полезных ископаемых направляет соответствующее уведомление заявителю.</w:t>
      </w:r>
    </w:p>
    <w:bookmarkEnd w:id="26"/>
    <w:bookmarkStart w:name="z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несоответствия заявки подпункту 1) настоящего пункта, заявка возвращается заявителю с указанием причин возврата в течение срока, предусмотренного настоящим подпунктом.</w:t>
      </w:r>
    </w:p>
    <w:bookmarkEnd w:id="27"/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На основании уведомления о соответствии заявки уполномоченным органом в области твердых полезных ископаемых созывается рабочая группа, которая совместно с заявителем в течение десяти рабочих дней со дня выдачи соответствующего уведомления проводит проверку функционала системы электронного закупа заявителя на соответствие порядку приобретения недропользователями и их подрядчиками товаров, работ и услуг, используемых при проведении операций по добыче твердых полезных ископаемых, утверждаемой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213 Кодекса, и порядку приобретения недропользователями и их подрядчиками товаров, работ и услуг, используемых при проведении операций по разведке или добыче углеводородов и добыче урана, утверждаемой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статей 131 и </w:t>
      </w:r>
      <w:r>
        <w:rPr>
          <w:rFonts w:ascii="Times New Roman"/>
          <w:b w:val="false"/>
          <w:i w:val="false"/>
          <w:color w:val="000000"/>
          <w:sz w:val="28"/>
        </w:rPr>
        <w:t>179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28"/>
    <w:bookmarkStart w:name="z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проверки функционала системы электронного закупа оформляются в виде протокола. Протокол составляется в трех экземплярах (по одному для уполномоченного органа в области твердых полезных ископаемых, уполномоченного органа в области углеводородов и добычи урана и заявителя).</w:t>
      </w:r>
    </w:p>
    <w:bookmarkEnd w:id="29"/>
    <w:bookmarkStart w:name="z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соответствия функционала системы электронного закупа рабочая группа в течение трех рабочих дней со дня составления протокола совместно с заявителем приступает к мероприятиям по осуществлению синхронизации работ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30"/>
    <w:bookmarkStart w:name="z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несоответствия функционала системы электронного закупа заявитель устраняет выявленные несоответствия в течение пяти рабочих дней со дня составления протокола.</w:t>
      </w:r>
    </w:p>
    <w:bookmarkEnd w:id="31"/>
    <w:bookmarkStart w:name="z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ввода синхронизации работ в промышленную эксплуатацию проводятся следующие мероприятия:</w:t>
      </w:r>
    </w:p>
    <w:bookmarkEnd w:id="32"/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рабочей группой проводятся предварительные испытания синхронизации работ. Результат предварительных испытаний синхронизации работ оформляется в виде протокола. Протокол составляется в трех экземплярах (по одному для уполномоченного органа в области твердых полезных ископаемых, уполномоченного органа в области углеводородов и добычи урана и заявителя).</w:t>
      </w:r>
    </w:p>
    <w:bookmarkEnd w:id="33"/>
    <w:bookmarkStart w:name="z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отрицательного результата предварительных испытаний синхронизации работ заявитель устраняет выявленные несоответствия в течение трех рабочих дней со дня составления протокола;</w:t>
      </w:r>
    </w:p>
    <w:bookmarkEnd w:id="34"/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положительного результата предварительных испытаний синхронизации работ рабочая группа в течение трех рабочих дней со дня составления протокола проводит приемочные испытания синхронизации работ. Результаты приемочных испытаний оформляются в виде протокола. Протокол составляется в трех экземплярах (по одному для уполномоченного органа в области твердых полезных ископаемых, уполномоченного органа в области углеводородов и добычи урана и заявителя).</w:t>
      </w:r>
    </w:p>
    <w:bookmarkEnd w:id="35"/>
    <w:bookmarkStart w:name="z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отрицательного результата приемочных испытаний синхронизации работ заявитель устраняет выявленные несоответствия в течение трех рабочих дней со дня составления протокола;</w:t>
      </w:r>
    </w:p>
    <w:bookmarkEnd w:id="36"/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положительного результата приемочных испытаний рабочей группой составляется акт ввода синхронизации работ в промышленную эксплуатацию. Акт составляется в трех экземплярах (по одному для уполномоченного органа в области твердых полезных ископаемых, уполномоченного органа в области углеводородов и добычи урана и заявителя).</w:t>
      </w:r>
    </w:p>
    <w:bookmarkEnd w:id="37"/>
    <w:bookmarkStart w:name="z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предварительных и приемочных испытаниях синхронизации работ для передачи в Реестр информацией является:</w:t>
      </w:r>
    </w:p>
    <w:bookmarkEnd w:id="38"/>
    <w:bookmarkStart w:name="z5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объявление о приобретении товаров, работ и услуг (далее – ТРУ);</w:t>
      </w:r>
    </w:p>
    <w:bookmarkEnd w:id="39"/>
    <w:bookmarkStart w:name="z5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протокол рассмотрения конкурсных заявок, представленных потенциальными поставщиками для участия в открытом конкурсе, открытом конкурсе на понижение (электронные торги) по приобретению ТРУ;</w:t>
      </w:r>
    </w:p>
    <w:bookmarkEnd w:id="40"/>
    <w:bookmarkStart w:name="z5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протокол подведения итогов приобретения ТРУ способом из одного источника;</w:t>
      </w:r>
    </w:p>
    <w:bookmarkEnd w:id="41"/>
    <w:bookmarkStart w:name="z5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протокол подведения итогов открытого конкурса, открытого конкурса на понижение (электронные торги) по приобретению ТРУ;</w:t>
      </w:r>
    </w:p>
    <w:bookmarkEnd w:id="42"/>
    <w:bookmarkStart w:name="z6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измененные объекты базы данных;</w:t>
      </w:r>
    </w:p>
    <w:bookmarkEnd w:id="43"/>
    <w:bookmarkStart w:name="z6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лог событий системы электронного закупа;</w:t>
      </w:r>
    </w:p>
    <w:bookmarkEnd w:id="44"/>
    <w:bookmarkStart w:name="z6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информация по контрольным суммам;</w:t>
      </w:r>
    </w:p>
    <w:bookmarkEnd w:id="45"/>
    <w:bookmarkStart w:name="z6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годовые (на один финансовый год) и среднесрочные (на пять финансовых лет) программы закупа ТРУ.</w:t>
      </w:r>
    </w:p>
    <w:bookmarkEnd w:id="46"/>
    <w:bookmarkStart w:name="z6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Дата доступа заявителя к Реестру указывается в акте ввода синхронизации работ в промышленную эксплуатацию.</w:t>
      </w:r>
    </w:p>
    <w:bookmarkEnd w:id="47"/>
    <w:bookmarkStart w:name="z6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После ввода синхронизации в промышленную эксплуатацию, заявитель обеспечивает неизменность условий синхронизации. Изменение условий синхронизации допускается по решению рабочей группы по результатам рассмотрения соответствующего заявления заявителя. В случае положительного решения рабочей группы заявителем обеспечивается неизменность условий синхронизации, действовавших до момента принятия такого решения для завершения объявленных закупок в соответствии с порядками,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48"/>
    <w:bookmarkStart w:name="z6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целях обеспечения сохранности, целостности и неизменности переданной информации уполномоченный орган в области твердых полезных ископаемых в случае необходимости осуществляет аудит базы данных системы электронного закупа посредством Реестра, а именно получает лог событий, список измененных объектов с указанием идентификаторов и измененных свойств.</w:t>
      </w:r>
    </w:p>
    <w:bookmarkEnd w:id="49"/>
    <w:bookmarkStart w:name="z6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Реестре и системе электронного закупа обеспечивается проверка целостности полученной информации и формирование сообщения-ответа. Фиксация всех временных параметров в процессе приема-передачи информации производится по времени города Астана.</w:t>
      </w:r>
    </w:p>
    <w:bookmarkEnd w:id="50"/>
    <w:bookmarkStart w:name="z6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Работы по осуществлению синхронизации работ включают в себя разработку и публикацию соответствующих сервисов на стороне системы электронного закупа.</w:t>
      </w:r>
    </w:p>
    <w:bookmarkEnd w:id="51"/>
    <w:bookmarkStart w:name="z6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Синхронизация работ осуществляется посредством сервисов в соответствии со схемами передачи данных,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2"/>
    <w:bookmarkStart w:name="z7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Виды информационного взаимодействия между Реестром и системой электронного закупа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3"/>
    <w:bookmarkStart w:name="z7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Классификаторы, используемые при синхронизации работ,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4"/>
    <w:bookmarkStart w:name="z7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Информационное взаимодействие при синхронизации работ осуществляется с соблюдением условий по:</w:t>
      </w:r>
    </w:p>
    <w:bookmarkEnd w:id="55"/>
    <w:bookmarkStart w:name="z7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передачи информации в синхронном или асинхронном режиме;</w:t>
      </w:r>
    </w:p>
    <w:bookmarkEnd w:id="56"/>
    <w:bookmarkStart w:name="z7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непрерывной актуализации передаваемой информации;</w:t>
      </w:r>
    </w:p>
    <w:bookmarkEnd w:id="57"/>
    <w:bookmarkStart w:name="z7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передачи информации в Реестр в течение одного часа после ее формирования в системе электронного закупа;</w:t>
      </w:r>
    </w:p>
    <w:bookmarkEnd w:id="58"/>
    <w:bookmarkStart w:name="z7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извещения о предстоящем проведении технических работ в Реестре;</w:t>
      </w:r>
    </w:p>
    <w:bookmarkEnd w:id="59"/>
    <w:bookmarkStart w:name="z7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применения для организации информационного взаимодействия сервисов и программных интерфейсов, использующих язык описания информации в виде XML, спецификации простого протокола доступа к объектам (SOAP);</w:t>
      </w:r>
    </w:p>
    <w:bookmarkEnd w:id="60"/>
    <w:bookmarkStart w:name="z7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использования для передачи информации транспортного протокола (TCP) и протокола передачи гипертекста (HTTP/HTTPS);</w:t>
      </w:r>
    </w:p>
    <w:bookmarkEnd w:id="61"/>
    <w:bookmarkStart w:name="z7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своевременного принятия мер по выявлению и устранению причин возникновения повреждения (искажения) информации в процессе ее передачи, а также аварийных ситуаций.</w:t>
      </w:r>
    </w:p>
    <w:bookmarkEnd w:id="62"/>
    <w:bookmarkStart w:name="z8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Информационное взаимодействие при синхронизации работ осуществляется с использованием программного обеспечения, технических и иных средств, предназначенных и используемых для обеспечения защиты информации.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синхронизации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систем 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закупа в отношении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углеводородов и добычи урана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работой реестра товаров, работ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услуг, используемых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проведении операций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недропользованию,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производителей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уполномоченного органа)</w:t>
            </w:r>
          </w:p>
        </w:tc>
      </w:tr>
    </w:tbl>
    <w:bookmarkStart w:name="z82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реализацию синхронизации работы систем электронного закупа в отношении углеводородов и добычи урана с реестром товаров, работ и услуг, используемых при проведении операций по недропользованию, и их производителей</w:t>
      </w:r>
    </w:p>
    <w:bookmarkEnd w:id="64"/>
    <w:p>
      <w:pPr>
        <w:spacing w:after="0"/>
        <w:ind w:left="0"/>
        <w:jc w:val="both"/>
      </w:pPr>
      <w:bookmarkStart w:name="z83" w:id="65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(наименование заявителя,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  заявителя)</w:t>
      </w:r>
    </w:p>
    <w:p>
      <w:pPr>
        <w:spacing w:after="0"/>
        <w:ind w:left="0"/>
        <w:jc w:val="both"/>
      </w:pPr>
      <w:bookmarkStart w:name="z84" w:id="66"/>
      <w:r>
        <w:rPr>
          <w:rFonts w:ascii="Times New Roman"/>
          <w:b w:val="false"/>
          <w:i w:val="false"/>
          <w:color w:val="000000"/>
          <w:sz w:val="28"/>
        </w:rPr>
        <w:t>
      заявляет о готовности к синхронизации работы систем электронного закупа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отношении углеводородов и добычи урана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  (наименование системы электронных закупок)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реестром товаров, работ и услуг, используемых при проведении операций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недропользованию, и их производителей (далее – Реестр).</w:t>
      </w:r>
    </w:p>
    <w:p>
      <w:pPr>
        <w:spacing w:after="0"/>
        <w:ind w:left="0"/>
        <w:jc w:val="both"/>
      </w:pPr>
      <w:bookmarkStart w:name="z86" w:id="67"/>
      <w:r>
        <w:rPr>
          <w:rFonts w:ascii="Times New Roman"/>
          <w:b w:val="false"/>
          <w:i w:val="false"/>
          <w:color w:val="000000"/>
          <w:sz w:val="28"/>
        </w:rPr>
        <w:t>
      1. Веб-адрес системы электронных закупок: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bookmarkStart w:name="z87" w:id="68"/>
      <w:r>
        <w:rPr>
          <w:rFonts w:ascii="Times New Roman"/>
          <w:b w:val="false"/>
          <w:i w:val="false"/>
          <w:color w:val="000000"/>
          <w:sz w:val="28"/>
        </w:rPr>
        <w:t>
      2. Нотариально засвидетельствованная копия аттестата соответствия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требованиям информационной безопасности на ________ листах прилагается.</w:t>
      </w:r>
    </w:p>
    <w:p>
      <w:pPr>
        <w:spacing w:after="0"/>
        <w:ind w:left="0"/>
        <w:jc w:val="both"/>
      </w:pPr>
      <w:bookmarkStart w:name="z88" w:id="69"/>
      <w:r>
        <w:rPr>
          <w:rFonts w:ascii="Times New Roman"/>
          <w:b w:val="false"/>
          <w:i w:val="false"/>
          <w:color w:val="000000"/>
          <w:sz w:val="28"/>
        </w:rPr>
        <w:t>
      3._____________________________________________________________________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(наименование или фамилия, имя, отчество (при его наличии) заявителя)</w:t>
      </w:r>
    </w:p>
    <w:p>
      <w:pPr>
        <w:spacing w:after="0"/>
        <w:ind w:left="0"/>
        <w:jc w:val="both"/>
      </w:pPr>
      <w:bookmarkStart w:name="z89" w:id="70"/>
      <w:r>
        <w:rPr>
          <w:rFonts w:ascii="Times New Roman"/>
          <w:b w:val="false"/>
          <w:i w:val="false"/>
          <w:color w:val="000000"/>
          <w:sz w:val="28"/>
        </w:rPr>
        <w:t>
      готов провести мероприятия по синхронизации работы системы электронного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закупа с работой Реестра.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                                 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                                   Место печати (при его наличии) (подпись)</w:t>
      </w:r>
    </w:p>
    <w:bookmarkStart w:name="z9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 20___ год.</w:t>
      </w:r>
    </w:p>
    <w:bookmarkEnd w:id="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синхронизации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систем 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закупа в отношении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углеводородов и добычи урана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работой реестра товаров, работ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услуг, используемых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проведении операций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недропользованию,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производителей</w:t>
            </w:r>
          </w:p>
        </w:tc>
      </w:tr>
    </w:tbl>
    <w:bookmarkStart w:name="z92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СХЕМЫ ПЕРЕДАЧИ ДАННЫХ</w:t>
      </w:r>
    </w:p>
    <w:bookmarkEnd w:id="72"/>
    <w:p>
      <w:pPr>
        <w:spacing w:after="0"/>
        <w:ind w:left="0"/>
        <w:jc w:val="both"/>
      </w:pPr>
      <w:bookmarkStart w:name="z93" w:id="73"/>
      <w:r>
        <w:rPr>
          <w:rFonts w:ascii="Times New Roman"/>
          <w:b w:val="false"/>
          <w:i w:val="false"/>
          <w:color w:val="000000"/>
          <w:sz w:val="28"/>
        </w:rPr>
        <w:t>
      1. Схема "Предоставление информации о закупках недропользователей из системы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электронных закупок"</w:t>
      </w:r>
    </w:p>
    <w:bookmarkStart w:name="z9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4"/>
    <w:p>
      <w:pPr>
        <w:spacing w:after="0"/>
        <w:ind w:left="0"/>
        <w:jc w:val="both"/>
      </w:pPr>
      <w:r>
        <w:drawing>
          <wp:inline distT="0" distB="0" distL="0" distR="0">
            <wp:extent cx="5448300" cy="744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48300" cy="744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Наименование:</w:t>
            </w:r>
          </w:p>
          <w:bookmarkEnd w:id="7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информации о закупе недропользователей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описание:</w:t>
            </w:r>
          </w:p>
          <w:bookmarkEnd w:id="7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информации о закупе недропользователей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Контекст:</w:t>
            </w:r>
          </w:p>
          <w:bookmarkEnd w:id="7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информации о закупе недропользователей производится в синхронном режиме при наличии новых/измененных записей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процесс</w:t>
            </w:r>
          </w:p>
          <w:bookmarkEnd w:id="78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СЭЗ</w:t>
            </w:r>
          </w:p>
          <w:bookmarkEnd w:id="7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СЭЗ передает новые/измененные записи и отправляет в Реестр.</w:t>
            </w:r>
          </w:p>
          <w:bookmarkEnd w:id="8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Реестр проверяет целостность принятых данных.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Реестр проверяет наличие и достоверность/актуальность сертификата электронную цифровой подписи.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Реестр осуществляет форматно-логический контроль принятых данных в автоматическом режиме.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Альтернативный процесс. Данные приняты</w:t>
            </w:r>
          </w:p>
          <w:bookmarkEnd w:id="84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Реестр формирует сообщение о приеме данных.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СЭЗ принимает сообщение.</w:t>
            </w:r>
          </w:p>
          <w:bookmarkEnd w:id="8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Альтернативный процесс. Данные не приняты</w:t>
            </w:r>
          </w:p>
          <w:bookmarkEnd w:id="87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Реестр формирует сообщение об ошибке.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СЭЗ повторно передает новые/измененные записи и отправляет в Реестр.</w:t>
            </w:r>
          </w:p>
          <w:bookmarkEnd w:id="8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Схема "Запрос изменяемых данных из Реестра"</w:t>
      </w:r>
    </w:p>
    <w:bookmarkEnd w:id="90"/>
    <w:bookmarkStart w:name="z11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1"/>
    <w:p>
      <w:pPr>
        <w:spacing w:after="0"/>
        <w:ind w:left="0"/>
        <w:jc w:val="both"/>
      </w:pPr>
      <w:r>
        <w:drawing>
          <wp:inline distT="0" distB="0" distL="0" distR="0">
            <wp:extent cx="6172200" cy="633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72200" cy="633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Наименование:</w:t>
            </w:r>
          </w:p>
          <w:bookmarkEnd w:id="9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изменяемых данных из Реестра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Контекст:</w:t>
            </w:r>
          </w:p>
          <w:bookmarkEnd w:id="9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измененных полей справочников производится в автоматическом режиме при наличии новых/измененных записей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процесс</w:t>
            </w:r>
          </w:p>
          <w:bookmarkEnd w:id="94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СЭЗ</w:t>
            </w:r>
          </w:p>
          <w:bookmarkEnd w:id="9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СЭЗ инициирует запрос на получение данных из Реестра. Формируется и передается пакет запроса.</w:t>
            </w:r>
          </w:p>
          <w:bookmarkEnd w:id="9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Реестр производит валидацию запроса.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Альтернативный процесс. Изменение данных по запросу не требуется</w:t>
            </w:r>
          </w:p>
          <w:bookmarkEnd w:id="98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Реестр передает ответ в СЭЗ по запросу об отсутствии надобности в пополнении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Альтернативный процесс. Изменение данных по запросу требуется</w:t>
            </w:r>
          </w:p>
          <w:bookmarkEnd w:id="100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Реестр формирует запрос на пополнение данных.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СЭЗ формирует дополнительные данные по запросу.</w:t>
            </w:r>
          </w:p>
          <w:bookmarkEnd w:id="10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Реестр пересылает идентификаторы полученных данных.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СЭЗ принимает сообщение.</w:t>
            </w:r>
          </w:p>
          <w:bookmarkEnd w:id="10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Схема "Запрос справочных данных из Реестра" </w:t>
      </w:r>
    </w:p>
    <w:bookmarkEnd w:id="105"/>
    <w:bookmarkStart w:name="z12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6"/>
    <w:p>
      <w:pPr>
        <w:spacing w:after="0"/>
        <w:ind w:left="0"/>
        <w:jc w:val="both"/>
      </w:pPr>
      <w:r>
        <w:drawing>
          <wp:inline distT="0" distB="0" distL="0" distR="0">
            <wp:extent cx="5765800" cy="292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5800" cy="292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Наименование:</w:t>
            </w:r>
          </w:p>
          <w:bookmarkEnd w:id="10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справочных данных из Реестра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Контекст:</w:t>
            </w:r>
          </w:p>
          <w:bookmarkEnd w:id="10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полей справочников производится в синхронном режиме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процесс</w:t>
            </w:r>
          </w:p>
          <w:bookmarkEnd w:id="109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СЭЗ</w:t>
            </w:r>
          </w:p>
          <w:bookmarkEnd w:id="11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СЭЗ инициирует запрос на получение данных из Реестра. Формируется и передается пакет запроса.</w:t>
            </w:r>
          </w:p>
          <w:bookmarkEnd w:id="11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Реестр производит валидацию запроса.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Реестр передает данные из справочников в СЭЗ по запросу.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СЭЗ принимает сообщение.</w:t>
            </w:r>
          </w:p>
          <w:bookmarkEnd w:id="11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Схема "Получение справочных данных поставщика" </w:t>
      </w:r>
    </w:p>
    <w:bookmarkEnd w:id="115"/>
    <w:bookmarkStart w:name="z13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6"/>
    <w:p>
      <w:pPr>
        <w:spacing w:after="0"/>
        <w:ind w:left="0"/>
        <w:jc w:val="both"/>
      </w:pPr>
      <w:r>
        <w:drawing>
          <wp:inline distT="0" distB="0" distL="0" distR="0">
            <wp:extent cx="4673600" cy="967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73600" cy="967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Наименование:</w:t>
            </w:r>
          </w:p>
          <w:bookmarkEnd w:id="11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справочных данных поставщика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Контекст:</w:t>
            </w:r>
          </w:p>
          <w:bookmarkEnd w:id="11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измененных полей по карточкам поставщиков производится в полуавтоматическом режиме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процесс</w:t>
            </w:r>
          </w:p>
          <w:bookmarkEnd w:id="119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СЭЗ</w:t>
            </w:r>
          </w:p>
          <w:bookmarkEnd w:id="12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СЭЗ инициирует запрос на получение данных из Реестра. Формируется и передается пакет запроса.</w:t>
            </w:r>
          </w:p>
          <w:bookmarkEnd w:id="12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Реестр производит валидацию запроса.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Альтернативный процесс. Изменение данных по запросу требуется</w:t>
            </w:r>
          </w:p>
          <w:bookmarkEnd w:id="123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Реестр формирует запрос на пополнение данных.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СЭЗ повторно инициирует запрос на получение данных из Реестра. Формируется и передается пакет запроса.</w:t>
            </w:r>
          </w:p>
          <w:bookmarkEnd w:id="12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Альтернативный процесс. Изменение данных по запросу не требуется</w:t>
            </w:r>
          </w:p>
          <w:bookmarkEnd w:id="126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Реестр формирует список для выбора со стороны СЭЗ.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СЭЗ осуществляет выбор в полуавтоматическом режиме. Формируется и передается пакет запроса.</w:t>
            </w:r>
          </w:p>
          <w:bookmarkEnd w:id="12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Реестр проверяет целостность принятых данных.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Реестр проверяет наличие и достоверность/актуальность сертификата электронно-цифровой подписи.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Реестр осуществляет формато-логический контроль принятых данных в автоматическом режиме.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Альтернативный процесс. Данные приняты</w:t>
            </w:r>
          </w:p>
          <w:bookmarkEnd w:id="132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Реестр формирует и передает сообщение о приеме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Альтернативный процесс. Данные не приняты</w:t>
            </w:r>
          </w:p>
          <w:bookmarkEnd w:id="134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Реестр формирует сообщение об ошибке.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СЭЗ повторно передает новые/измененные записи и отправляет в Реестр.</w:t>
            </w:r>
          </w:p>
          <w:bookmarkEnd w:id="13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Схема "Рассылка уведомлений из Реестра в систему электронного закупа" </w:t>
      </w:r>
    </w:p>
    <w:bookmarkEnd w:id="137"/>
    <w:bookmarkStart w:name="z15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8"/>
    <w:p>
      <w:pPr>
        <w:spacing w:after="0"/>
        <w:ind w:left="0"/>
        <w:jc w:val="both"/>
      </w:pPr>
      <w:r>
        <w:drawing>
          <wp:inline distT="0" distB="0" distL="0" distR="0">
            <wp:extent cx="3543300" cy="124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124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Наименование:</w:t>
            </w:r>
          </w:p>
          <w:bookmarkEnd w:id="13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Рассылка уведомлений из Реестра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Контекст:</w:t>
            </w:r>
          </w:p>
          <w:bookmarkEnd w:id="14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Рассылка уведомлений о событиях из Реестра в СЭЗ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процесс</w:t>
            </w:r>
          </w:p>
          <w:bookmarkEnd w:id="141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СЭЗ</w:t>
            </w:r>
          </w:p>
          <w:bookmarkEnd w:id="14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Реестр формирует текст уведомления для передачи в СЭЗ. Формируется и передается пакет данных.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СЭЗ получает пакет данных.</w:t>
            </w:r>
          </w:p>
          <w:bookmarkEnd w:id="14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Схема "Аудит целостности базы данных СЭЗ"</w:t>
      </w:r>
    </w:p>
    <w:bookmarkEnd w:id="145"/>
    <w:bookmarkStart w:name="z16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6"/>
    <w:p>
      <w:pPr>
        <w:spacing w:after="0"/>
        <w:ind w:left="0"/>
        <w:jc w:val="both"/>
      </w:pPr>
      <w:r>
        <w:drawing>
          <wp:inline distT="0" distB="0" distL="0" distR="0">
            <wp:extent cx="3225800" cy="116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258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Наименование:</w:t>
            </w:r>
          </w:p>
          <w:bookmarkEnd w:id="14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 целостности базы данных СЭЗ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Контекст:</w:t>
            </w:r>
          </w:p>
          <w:bookmarkEnd w:id="14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процесс</w:t>
            </w:r>
          </w:p>
          <w:bookmarkEnd w:id="149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СЭЗ</w:t>
            </w:r>
          </w:p>
          <w:bookmarkEnd w:id="15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Реестр формирует запрос на аудит в СЭЗ.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СЭЗ формирует и передает пакет данных.</w:t>
            </w:r>
          </w:p>
          <w:bookmarkEnd w:id="15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Схема "Загрузка СПЗ и (или) ГПЗ из СЭЗ в Реестр" </w:t>
      </w:r>
    </w:p>
    <w:bookmarkEnd w:id="153"/>
    <w:bookmarkStart w:name="z17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4"/>
    <w:p>
      <w:pPr>
        <w:spacing w:after="0"/>
        <w:ind w:left="0"/>
        <w:jc w:val="both"/>
      </w:pPr>
      <w:r>
        <w:drawing>
          <wp:inline distT="0" distB="0" distL="0" distR="0">
            <wp:extent cx="4902200" cy="758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02200" cy="758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Наименование:</w:t>
            </w:r>
          </w:p>
          <w:bookmarkEnd w:id="15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Загрузка СПЗ и (или) ГПЗ из СЭЗ в Реестр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Контекст:</w:t>
            </w:r>
          </w:p>
          <w:bookmarkEnd w:id="15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Загрузка среднесрочной программы закупа и годовой программы закупа недропользователей в синхронном режиме при наличии новых записей. новых/измененных записей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процесс</w:t>
            </w:r>
          </w:p>
          <w:bookmarkEnd w:id="157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СЭЗ</w:t>
            </w:r>
          </w:p>
          <w:bookmarkEnd w:id="15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СЭЗ передает новые записи СПЗ и (или) ГПЗ и отправляет в Реестр.</w:t>
            </w:r>
          </w:p>
          <w:bookmarkEnd w:id="15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Реестр проверяет целостность пакета данных.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Реестр проверяет наличие и достоверность/актуальность сертификата электронную цифровой подписи.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Реестр осуществляет форматно-логический контроль принятых данных в автоматическом режиме.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Альтернативный процесс. Данные приняты</w:t>
            </w:r>
          </w:p>
          <w:bookmarkEnd w:id="163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Реестр формирует сообщение о приеме данных.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СЭЗ принимает сообщение.</w:t>
            </w:r>
          </w:p>
          <w:bookmarkEnd w:id="16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Альтернативный процесс. Данные не приняты</w:t>
            </w:r>
          </w:p>
          <w:bookmarkEnd w:id="166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Реестр формирует сообщение об ошибке.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СЭЗ повторно передает новые записи СПЗ и (или) ГПЗ и отправляет в Реестр.</w:t>
            </w:r>
          </w:p>
          <w:bookmarkEnd w:id="16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Схема "Запрос на изменение данных СПЗ и (или) ГПЗ из СЭЗ в Реестр"</w:t>
      </w:r>
    </w:p>
    <w:bookmarkEnd w:id="169"/>
    <w:bookmarkStart w:name="z19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0"/>
    <w:p>
      <w:pPr>
        <w:spacing w:after="0"/>
        <w:ind w:left="0"/>
        <w:jc w:val="both"/>
      </w:pPr>
      <w:r>
        <w:drawing>
          <wp:inline distT="0" distB="0" distL="0" distR="0">
            <wp:extent cx="5435600" cy="864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35600" cy="864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Наименование:</w:t>
            </w:r>
          </w:p>
          <w:bookmarkEnd w:id="17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на изменение данных СПЗ и (или) ГПЗ из СЭЗ в Реестр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Контекст:</w:t>
            </w:r>
          </w:p>
          <w:bookmarkEnd w:id="17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Загрузка среднесрочного плана закупа и годового плана закупа недропользователей в синхронном режиме при наличии измененных записей.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процесс</w:t>
            </w:r>
          </w:p>
          <w:bookmarkEnd w:id="173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СЭЗ</w:t>
            </w:r>
          </w:p>
          <w:bookmarkEnd w:id="17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СЭЗ инициирует запрос на изменение данных записей СПЗ и (или) ГПЗ в Реестре. Формируется и передается пакет запроса.</w:t>
            </w:r>
          </w:p>
          <w:bookmarkEnd w:id="17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Реестр производит валидацию запроса.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Альтернативный процесс. Изменение данных по запросу не требуется</w:t>
            </w:r>
          </w:p>
          <w:bookmarkEnd w:id="177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Реестр передает ответ в СЭЗ по запросу.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Альтернативный процесс. Изменение данных по запросу требуется</w:t>
            </w:r>
          </w:p>
          <w:bookmarkEnd w:id="179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Реестр формирует запрос на пополнение данных.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СЭЗ формирует дополнительные данные по запросу.</w:t>
            </w:r>
          </w:p>
          <w:bookmarkEnd w:id="18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Реестр пересылает идентификаторы полученных данных.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СЭЗ принимает сообщение.</w:t>
            </w:r>
          </w:p>
          <w:bookmarkEnd w:id="18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184"/>
    <w:bookmarkStart w:name="z20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185"/>
    <w:bookmarkStart w:name="z20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СЭЗ – система электронного закупа;</w:t>
      </w:r>
    </w:p>
    <w:bookmarkEnd w:id="186"/>
    <w:bookmarkStart w:name="z20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СПЗ – среднесрочная программа закупа;</w:t>
      </w:r>
    </w:p>
    <w:bookmarkEnd w:id="187"/>
    <w:bookmarkStart w:name="z20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ГПЗ – годовая программа закупа;</w:t>
      </w:r>
    </w:p>
    <w:bookmarkEnd w:id="188"/>
    <w:bookmarkStart w:name="z21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ЭЦП – электронно – цифровая подпись;</w:t>
      </w:r>
    </w:p>
    <w:bookmarkEnd w:id="189"/>
    <w:bookmarkStart w:name="z21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Реестр – реестр товаров, работ и услуг, используемых при проведении операций по недропользованию, и их производителей.</w:t>
      </w:r>
    </w:p>
    <w:bookmarkEnd w:id="1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синхронизации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систем 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закупа в отношении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углеводородов и добычи урана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работой реестра товаров, работ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услуг, используемых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проведении операций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недропользованию,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производителей</w:t>
            </w:r>
          </w:p>
        </w:tc>
      </w:tr>
    </w:tbl>
    <w:bookmarkStart w:name="z213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информационного взаимодействия между Реестром и системой электронного закупа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9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9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данных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закупа;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конкурсной документации;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закупа;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закупа из одного источника на базе закупа;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списка поданных конкурсных заявок;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списка поставщиков, скачавших конкурсную документацию;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протоколов;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закупа, протоколов;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закупа, протоколов;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Добавление поставщика;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поставщика;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поставщика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9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на обновление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Обновление полей справочников;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наличия поставщика;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9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Синхронизация времени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Обновление системных дат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9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Валидация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справочных данных на поставщиков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9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Рассылка уведомлений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об изменениях в справочниках, информационные рассылки;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СЭЗ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9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целостности баз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контрольных сумм;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логов событий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СЭЗ</w:t>
            </w:r>
          </w:p>
        </w:tc>
      </w:tr>
    </w:tbl>
    <w:bookmarkStart w:name="z221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199"/>
    <w:bookmarkStart w:name="z222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200"/>
    <w:bookmarkStart w:name="z223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СЭЗ – система электронного закупа;</w:t>
      </w:r>
    </w:p>
    <w:bookmarkEnd w:id="201"/>
    <w:p>
      <w:pPr>
        <w:spacing w:after="0"/>
        <w:ind w:left="0"/>
        <w:jc w:val="both"/>
      </w:pPr>
      <w:bookmarkStart w:name="z224" w:id="202"/>
      <w:r>
        <w:rPr>
          <w:rFonts w:ascii="Times New Roman"/>
          <w:b w:val="false"/>
          <w:i w:val="false"/>
          <w:color w:val="000000"/>
          <w:sz w:val="28"/>
        </w:rPr>
        <w:t>
      Реестр – реестр товаров, работ и услуг, используемых при проведении операций по</w:t>
      </w:r>
    </w:p>
    <w:bookmarkEnd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недропользованию, и их производителей.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синхронизации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систем 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закупа в отношении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углеводородов и добычи урана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работой реестра товаров, работ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услуг, используемых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проведении операций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недропользованию,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производителей</w:t>
            </w:r>
          </w:p>
        </w:tc>
      </w:tr>
    </w:tbl>
    <w:bookmarkStart w:name="z226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Классификаторы, используемые при синхронизации работ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0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классификатора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Классификатор административно-территориальных единиц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0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классификатор продукции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0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Межгосударственный классификатор единиц измерения и счета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0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Классификатор стран мира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0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Классификатор организационно-правовых форм хозяйствования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