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81e4" w14:textId="fd58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Национального Банка Республики Казахстан, оказываемых платежным организациям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мая 2018 года № 88. Зарегистрировано в Министерстве юстиции Республики Казахстан 18 июня 2018 года № 17087. Утратило силу постановлением Правления Национального Банка Республики Казахстан от 18 мая 2020 года № 71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"Включение в реестр платежных организаций, прошедших учетную регистрацию в Национальном Банке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согласия на проведение добровольной реорганизации (присоединение, слияние, разделение, выделение, преобразование) платежных организаций"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организационной работы и контроля (Итимгенов А.А.)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подпункта 1) пункта 1 настоящего постановления, который вводится в действие по истечении двадцати одного календарного дня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88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"Включение в реестр платежных организаций, прошедших учетную регистрацию в Национальном Банке Республики Казахстан"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Национальный Банк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Государственная услуга "Включение в реестр платежных организаций, прошедших учетную регистрацию в Национальном Банке Республики Казахстан" (далее – государственная услуга) оказывается Национальным Банком Республики Казахстан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с указанием регистрационного номера о прохождении учетной регистрации платежной организации у услугодателя либо мотивированный ответ об отказе в оказании государственной услуги (далее – отказ),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"Включение в реестр платежных организаций, прошедших учетную регистрацию в Национальном Банке Республики Казахстан", утвержденного постановлением Правления Национального Банка Республики Казахстан от 11 января 2018 года № 3 "Об утверждении стандартов государственных услуг Национального Банка Республики Казахстан, оказываемых платежным организациям" (зарегистрировано в Реестре государственной регистрации нормативных правовых актов под № 16583) (далее – стандарт).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представление услугополучателем для получения государственной услуги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выполнения, а также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представленных услугополучателем, передача документов для рассмотрения руководителю услугодателя ответственным лицом услугодателя, уполномоченным на прием и регистрацию корреспонденции – в день поступления заявления;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наложение резолюции руководством услугодателя – в день передачи документов;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определение исполнителя, передача документов ему на исполнение руководителем подразделения, ответственного за оказание государственной услуги (далее – ответственное подразделение) – в день получения документов от руководства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предусмотренные подпунктами 1), 2) и 3) настоящего пункта, осуществляются в течение 2 (двух) рабочих дней;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полноты представленных документов: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подготовка письменного мотивированного отказа в дальнейшем рассмотрении заявления (далее – отказ в рассмотрении заявления), подписание отказа в рассмотрении заявления у руководства услугодателя, выдача отказа в рассмотрении заявления услугополучателю исполнителем ответственного подразделения – в течение 3 (трех) рабочих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полноты документов, рассмотрение документов на предмет соответствия требованиям стандарта, подготовка проектов уведомления о прохождении учетной регистрации платежной организации (далее – уведомление) либо отказа, направление документов на согласование руководителю ответственного подразделения исполнителем – в течение 7 (семи) рабочих дней;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документов, согласование и подписание уведомления либо отказа руководителем ответственного подразделения – в течение 2 (двух) рабочих дней;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включение услугополучателя в реестр платежных организаций (при подписании уведомления), направление исполнителем ответственного подразделения услугополучателю результатов оказания государственной услуги по адресу, указанному при подаче заявления – в течение 1 (одного) рабочего дня.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услугодателя, уполномоченное на прием и регистрацию корреспонденции;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подразделения;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ответственного подразделения.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с указанием длительности каждой процедуры (действия) изложено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 не взаимодействует.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 не взаимодействует.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 не используется.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Справочник бизнес-процессов оказания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"Включение в реестр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учетную 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 указанием длительности каждой процедуры (действия)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*процедуры осуществляются в течение 2 (двух) рабочих дней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"Включение в реестр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учетную регистрацию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 Республики Казахстан"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*процедуры осуществляются в течение 2 (двух) рабочих дней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согласия на проведение добровольной реорганизации (присоединение, слияние, разделение, выделение, преобразование) платежных организаций"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Национальный Банк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согласия на проведение добровольной реорганизации (присоединение, слияние, разделение, выделение, преобразование) платежных организаций" (далее – государственная услуга) оказывается Национальным Банком Республики Казахстан (далее – услугодатель).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принятом решении по результатам согласования, либо мотивированный ответ об отказе в оказании государственной услуги (далее – отказ),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согласия на проведение добровольной реорганизации (присоединение, слияние, разделение, выделение, преобразование) платежных организаций", утвержденного постановлением Правления Национального Банка Республики Казахстан от 11 января 2018 года № 3 "Об утверждении стандартов государственных услуг Национального Банка Республики Казахстан, оказываемых платежным организациям" (зарегистрировано в Реестре государственной регистрации нормативных правовых актов под № 16583) (далее – стандарт).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представление услугополучателем для получения государственной услуги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выполнения, а также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представленных услугополучателем, передача документов для рассмотрения руководителю услугодателя ответственным лицом услугодателя, уполномоченным на прием и регистрацию корреспонденции – в день поступления заявления;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наложение резолюции руководством услугодателя – в день передачи документов;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определение исполнителя, передача документов ему на исполнение руководителем подразделения, ответственного за оказание государственной услуги (далее – ответственное подразделение) – в день получения документов от руководства услугодателя;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предусмотренные подпунктами 1), 2) и 3) настоящего пункта, осуществляются в течение 2 (двух) рабочих дней;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полноты представленных документов: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подготовка письменного мотивированного отказа в дальнейшем рассмотрении заявления (далее – отказ в рассмотрении заявления), подписание отказа в рассмотрении заявления у руководства услугодателя, выдача отказа в рассмотрении заявления услугополучателю исполнителем ответственного подразделения – в течение 3 (трех) рабочих дней;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полноты документов, рассмотрение документов на предмет соответствия требованиям стандарта, подготовка проектов уведомления о принятом решении по результатам согласования (далее – уведомление) либо отказа, направление документов на согласование руководителю ответственного подразделения исполнителем – в течение 7 (семи) рабочих дней;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документов, согласование и подписание уведомления либо отказа руководителем ответственного подразделения – в течение 2 (двух) рабочих дней;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исполнителем ответственного подразделения услугополучателю результатов оказания государственной услуги по адресу, указанному при подаче заявления – в течение 1 (одного) рабочего дня.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услугодателя, уполномоченное на прием и регистрацию корреспонденции;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подразделения;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ответственного подразделения.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с указанием длительности каждой процедуры (действия) изложено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 не взаимодействует.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 не взаимодействует.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 не используется.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Справочник бизнес-процессов оказания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согласия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реорганизации (присоединение,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слияние, разделение,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выделение, преобразование)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организаций"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*процедуры осуществляются в течение 2 (двух) рабочих дней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согласия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добровольной реорганизации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(присоединение,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слияние, разделение,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выделение, преобразование)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организаций"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*процедуры осуществляются в течение 2 (двух) рабочих дней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