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3402" w14:textId="4e23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мая 2018 года № 359. Зарегистрирован в Министерстве юстиции Республики Казахстан 14 июня 2018 года № 17077.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213 Кодекса Республики Казахстан от 27 декабря 2017 года "О недрах и недропользовании"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января 2015 года № 95 "Об утверждении Правил синхронизации работ систем электронного закупа с работой реестра товаров, работ и услуг, используемых при проведении операций по недропользованию, и их производителей" (зарегистрирован в Реестре государственной регистрации нормативных правовых актов под № 10519, опубликован 26 марта 2015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1298 "О внесении изменения в приказ Министра по инвестициям и развитию Республики Казахстан от 30 января 2015 года № 95 "Об утверждении Правил синхронизации работ систем электронного закупа с работой реестра товаров, работ и услуг, используемых при проведении операций по недропользованию, и их производителей" (зарегистрирован в Реестре государственной регистрации нормативных правовых актов под № 13101, опубликован 29 февраля 2016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w:t>
      </w:r>
    </w:p>
    <w:p>
      <w:pPr>
        <w:spacing w:after="0"/>
        <w:ind w:left="0"/>
        <w:jc w:val="both"/>
      </w:pPr>
      <w:r>
        <w:rPr>
          <w:rFonts w:ascii="Times New Roman"/>
          <w:b w:val="false"/>
          <w:i w:val="false"/>
          <w:color w:val="000000"/>
          <w:sz w:val="28"/>
        </w:rPr>
        <w:t>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Д. Абаев</w:t>
      </w:r>
    </w:p>
    <w:p>
      <w:pPr>
        <w:spacing w:after="0"/>
        <w:ind w:left="0"/>
        <w:jc w:val="both"/>
      </w:pPr>
      <w:r>
        <w:rPr>
          <w:rFonts w:ascii="Times New Roman"/>
          <w:b w:val="false"/>
          <w:i w:val="false"/>
          <w:color w:val="000000"/>
          <w:sz w:val="28"/>
        </w:rPr>
        <w:t>29 мая 2018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оборонной</w:t>
      </w:r>
    </w:p>
    <w:p>
      <w:pPr>
        <w:spacing w:after="0"/>
        <w:ind w:left="0"/>
        <w:jc w:val="both"/>
      </w:pPr>
      <w:r>
        <w:rPr>
          <w:rFonts w:ascii="Times New Roman"/>
          <w:b w:val="false"/>
          <w:i w:val="false"/>
          <w:color w:val="000000"/>
          <w:sz w:val="28"/>
        </w:rPr>
        <w:t>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Атамкулов</w:t>
      </w:r>
    </w:p>
    <w:p>
      <w:pPr>
        <w:spacing w:after="0"/>
        <w:ind w:left="0"/>
        <w:jc w:val="both"/>
      </w:pPr>
      <w:r>
        <w:rPr>
          <w:rFonts w:ascii="Times New Roman"/>
          <w:b w:val="false"/>
          <w:i w:val="false"/>
          <w:color w:val="000000"/>
          <w:sz w:val="28"/>
        </w:rPr>
        <w:t>28 мая 2018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К. Бозумбаев</w:t>
      </w:r>
    </w:p>
    <w:p>
      <w:pPr>
        <w:spacing w:after="0"/>
        <w:ind w:left="0"/>
        <w:jc w:val="both"/>
      </w:pPr>
      <w:r>
        <w:rPr>
          <w:rFonts w:ascii="Times New Roman"/>
          <w:b w:val="false"/>
          <w:i w:val="false"/>
          <w:color w:val="000000"/>
          <w:sz w:val="28"/>
        </w:rPr>
        <w:t>24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2018 года № 359</w:t>
            </w:r>
          </w:p>
        </w:tc>
      </w:tr>
    </w:tbl>
    <w:bookmarkStart w:name="z21" w:id="15"/>
    <w:p>
      <w:pPr>
        <w:spacing w:after="0"/>
        <w:ind w:left="0"/>
        <w:jc w:val="left"/>
      </w:pPr>
      <w:r>
        <w:rPr>
          <w:rFonts w:ascii="Times New Roman"/>
          <w:b/>
          <w:i w:val="false"/>
          <w:color w:val="000000"/>
        </w:rPr>
        <w:t xml:space="preserve"> Правила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Настоящие Правила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213 Кодекса Республики Казахстан от 27 декабря 2017 года "О недрах и недропользовании" (далее – Кодекс) и определяют порядок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w:t>
      </w:r>
    </w:p>
    <w:bookmarkEnd w:id="17"/>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 настоящих Правилах используются понятия и определения, установленные в Кодексе, а также следующие понятия:</w:t>
      </w:r>
    </w:p>
    <w:bookmarkEnd w:id="18"/>
    <w:p>
      <w:pPr>
        <w:spacing w:after="0"/>
        <w:ind w:left="0"/>
        <w:jc w:val="both"/>
      </w:pPr>
      <w:r>
        <w:rPr>
          <w:rFonts w:ascii="Times New Roman"/>
          <w:b w:val="false"/>
          <w:i w:val="false"/>
          <w:color w:val="000000"/>
          <w:sz w:val="28"/>
        </w:rPr>
        <w:t>
      1)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p>
      <w:pPr>
        <w:spacing w:after="0"/>
        <w:ind w:left="0"/>
        <w:jc w:val="both"/>
      </w:pPr>
      <w:r>
        <w:rPr>
          <w:rFonts w:ascii="Times New Roman"/>
          <w:b w:val="false"/>
          <w:i w:val="false"/>
          <w:color w:val="000000"/>
          <w:sz w:val="28"/>
        </w:rPr>
        <w:t>
      2) заявитель – физическое или юридическое лицо, являющееся собственником и (или) владельцем системы электронного закупа и подавшее заявку на реализацию синхронизации работы систем электронного закупа в отношении твердых полезных ископаемых с работой Реестра (далее – заявка);</w:t>
      </w:r>
    </w:p>
    <w:p>
      <w:pPr>
        <w:spacing w:after="0"/>
        <w:ind w:left="0"/>
        <w:jc w:val="both"/>
      </w:pPr>
      <w:r>
        <w:rPr>
          <w:rFonts w:ascii="Times New Roman"/>
          <w:b w:val="false"/>
          <w:i w:val="false"/>
          <w:color w:val="000000"/>
          <w:sz w:val="28"/>
        </w:rPr>
        <w:t>
      3) уполномоченный орган в области твердых полезных ископаемых (далее – уполномоченный орган) – уполномоченный орган, реализующий государственную политику по регулированию операций по разведке и добыче твердых полезных ископаемых, за исключением урана;</w:t>
      </w:r>
    </w:p>
    <w:p>
      <w:pPr>
        <w:spacing w:after="0"/>
        <w:ind w:left="0"/>
        <w:jc w:val="both"/>
      </w:pPr>
      <w:r>
        <w:rPr>
          <w:rFonts w:ascii="Times New Roman"/>
          <w:b w:val="false"/>
          <w:i w:val="false"/>
          <w:color w:val="000000"/>
          <w:sz w:val="28"/>
        </w:rPr>
        <w:t>
      4) сервис – набор операций, которые реализуют определенную логику и доступны для сетевого взаимодействия через интерфейсы, основанные на передаче электронных сообщений;</w:t>
      </w:r>
    </w:p>
    <w:p>
      <w:pPr>
        <w:spacing w:after="0"/>
        <w:ind w:left="0"/>
        <w:jc w:val="both"/>
      </w:pPr>
      <w:r>
        <w:rPr>
          <w:rFonts w:ascii="Times New Roman"/>
          <w:b w:val="false"/>
          <w:i w:val="false"/>
          <w:color w:val="000000"/>
          <w:sz w:val="28"/>
        </w:rPr>
        <w:t>
      5) система электронных закупок – информационная система, используемая организаторами закупа (недропользователями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твердых полезных ископаемых.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3. Под синхронизацией работ систем электронных закупа с работой Реестра (далее–синхронизация работ) понимается передача посредством информационного взаимодействия информации, указанной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подписанной электронной цифровой подписью, из системы электронного закупа, расположенной в казахстанском сегменте Интернета, в Реестр.</w:t>
      </w:r>
    </w:p>
    <w:bookmarkEnd w:id="19"/>
    <w:bookmarkStart w:name="z31" w:id="20"/>
    <w:p>
      <w:pPr>
        <w:spacing w:after="0"/>
        <w:ind w:left="0"/>
        <w:jc w:val="both"/>
      </w:pPr>
      <w:r>
        <w:rPr>
          <w:rFonts w:ascii="Times New Roman"/>
          <w:b w:val="false"/>
          <w:i w:val="false"/>
          <w:color w:val="000000"/>
          <w:sz w:val="28"/>
        </w:rPr>
        <w:t>
      4. Участниками синхронизации работ являются уполномоченный орган и заявитель.</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5. Для проведения мероприятий по синхронизации работ уполномоченный орган создает рабочую группу на постоянной основе.</w:t>
      </w:r>
    </w:p>
    <w:bookmarkEnd w:id="21"/>
    <w:p>
      <w:pPr>
        <w:spacing w:after="0"/>
        <w:ind w:left="0"/>
        <w:jc w:val="both"/>
      </w:pPr>
      <w:r>
        <w:rPr>
          <w:rFonts w:ascii="Times New Roman"/>
          <w:b w:val="false"/>
          <w:i w:val="false"/>
          <w:color w:val="000000"/>
          <w:sz w:val="28"/>
        </w:rPr>
        <w:t>
      Общее количество членов рабочей группы составляет нечетное число, но не менее пяти человек.</w:t>
      </w:r>
    </w:p>
    <w:p>
      <w:pPr>
        <w:spacing w:after="0"/>
        <w:ind w:left="0"/>
        <w:jc w:val="both"/>
      </w:pPr>
      <w:r>
        <w:rPr>
          <w:rFonts w:ascii="Times New Roman"/>
          <w:b w:val="false"/>
          <w:i w:val="false"/>
          <w:color w:val="000000"/>
          <w:sz w:val="28"/>
        </w:rPr>
        <w:t xml:space="preserve">
      Состав рабочей группы формируется из числа представителей уполномоченного органа, национального института развития в области развития внутристрановой ценности. </w:t>
      </w:r>
    </w:p>
    <w:p>
      <w:pPr>
        <w:spacing w:after="0"/>
        <w:ind w:left="0"/>
        <w:jc w:val="both"/>
      </w:pPr>
      <w:r>
        <w:rPr>
          <w:rFonts w:ascii="Times New Roman"/>
          <w:b w:val="false"/>
          <w:i w:val="false"/>
          <w:color w:val="000000"/>
          <w:sz w:val="28"/>
        </w:rPr>
        <w:t>
      На первом заседании рабочей группы большинством голосов избирается председатель рабочей группы из числа ее членов, который руководит работой рабочей группы и председательствует на ее заседаниях. В случае временного отсутствия председателя рабочей группы, его функции осуществляет один из членов рабочей группы путем открытого голосования простым большинством голосов из числа ее членов.</w:t>
      </w:r>
    </w:p>
    <w:p>
      <w:pPr>
        <w:spacing w:after="0"/>
        <w:ind w:left="0"/>
        <w:jc w:val="both"/>
      </w:pPr>
      <w:r>
        <w:rPr>
          <w:rFonts w:ascii="Times New Roman"/>
          <w:b w:val="false"/>
          <w:i w:val="false"/>
          <w:color w:val="000000"/>
          <w:sz w:val="28"/>
        </w:rPr>
        <w:t>
      Кворум для проведения заседания рабочей группы составляет не менее 50 (пятидесяти) процентов от общего количества членов рабочей группы. Каждый член рабочей группы имеет один голос. Решения рабочей группы принимаются простым большинством голосов от общего числа членов рабочей группы, участвующих в голосовании, путем открытого голосования. При равенстве голосов голос председателя рабочей группы является решающим. Члены рабочей группы, не согласные с принятым решением, могут отразить особое мнение в письменном виде, которое прилагается к протоколу рабочей группы.</w:t>
      </w:r>
    </w:p>
    <w:p>
      <w:pPr>
        <w:spacing w:after="0"/>
        <w:ind w:left="0"/>
        <w:jc w:val="both"/>
      </w:pPr>
      <w:r>
        <w:rPr>
          <w:rFonts w:ascii="Times New Roman"/>
          <w:b w:val="false"/>
          <w:i w:val="false"/>
          <w:color w:val="000000"/>
          <w:sz w:val="28"/>
        </w:rPr>
        <w:t>
      По результатам заседания рабочей группы уполномоченным органом в течение пяти рабочих дней обеспечивается составление протокола в двух экземплярах (по одному для уполномоченного органа и заявителя), который подписывается председателем рабочей группы и всеми присутствующими членами рабочей 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промышленности и строительства РК от 28.03.2024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
    <w:p>
      <w:pPr>
        <w:spacing w:after="0"/>
        <w:ind w:left="0"/>
        <w:jc w:val="left"/>
      </w:pPr>
      <w:r>
        <w:rPr>
          <w:rFonts w:ascii="Times New Roman"/>
          <w:b/>
          <w:i w:val="false"/>
          <w:color w:val="000000"/>
        </w:rPr>
        <w:t xml:space="preserve"> Глава 2. Порядок синхронизации работы систем электронного закупа в отношении твердых полезных ископаемых с работой Реестра</w:t>
      </w:r>
    </w:p>
    <w:bookmarkEnd w:id="22"/>
    <w:bookmarkStart w:name="z35"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Для синхронизации работ заявителем подается заявка в уполномоченный орган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нотариально засвидетельствованных копий следующих документов:</w:t>
      </w:r>
    </w:p>
    <w:bookmarkEnd w:id="23"/>
    <w:p>
      <w:pPr>
        <w:spacing w:after="0"/>
        <w:ind w:left="0"/>
        <w:jc w:val="both"/>
      </w:pPr>
      <w:r>
        <w:rPr>
          <w:rFonts w:ascii="Times New Roman"/>
          <w:b w:val="false"/>
          <w:i w:val="false"/>
          <w:color w:val="000000"/>
          <w:sz w:val="28"/>
        </w:rPr>
        <w:t>
      1) акт по результатам испытаний на соответствие требованиям информационной безопасности;</w:t>
      </w:r>
    </w:p>
    <w:p>
      <w:pPr>
        <w:spacing w:after="0"/>
        <w:ind w:left="0"/>
        <w:jc w:val="both"/>
      </w:pPr>
      <w:r>
        <w:rPr>
          <w:rFonts w:ascii="Times New Roman"/>
          <w:b w:val="false"/>
          <w:i w:val="false"/>
          <w:color w:val="000000"/>
          <w:sz w:val="28"/>
        </w:rPr>
        <w:t xml:space="preserve">
      2) техническая документация на систему электронных закупок. </w:t>
      </w:r>
    </w:p>
    <w:p>
      <w:pPr>
        <w:spacing w:after="0"/>
        <w:ind w:left="0"/>
        <w:jc w:val="both"/>
      </w:pPr>
      <w:r>
        <w:rPr>
          <w:rFonts w:ascii="Times New Roman"/>
          <w:b w:val="false"/>
          <w:i w:val="false"/>
          <w:color w:val="000000"/>
          <w:sz w:val="28"/>
        </w:rPr>
        <w:t>
      Для целей настоящей пункта под технической документацией понимается комплект документации на систему электронных закупок, включающий техническое задание, задание на проектирование, эксплуатационную и иную документацию.</w:t>
      </w:r>
    </w:p>
    <w:bookmarkStart w:name="z25" w:id="24"/>
    <w:p>
      <w:pPr>
        <w:spacing w:after="0"/>
        <w:ind w:left="0"/>
        <w:jc w:val="both"/>
      </w:pPr>
      <w:r>
        <w:rPr>
          <w:rFonts w:ascii="Times New Roman"/>
          <w:b w:val="false"/>
          <w:i w:val="false"/>
          <w:color w:val="000000"/>
          <w:sz w:val="28"/>
        </w:rPr>
        <w:t xml:space="preserve">
      Заявка рассматривается на соответствие требованиям, установленным настоящим пунктом Правил, в течение тридцати календарных дней с момента ее поступления. </w:t>
      </w:r>
    </w:p>
    <w:bookmarkEnd w:id="24"/>
    <w:bookmarkStart w:name="z26" w:id="25"/>
    <w:p>
      <w:pPr>
        <w:spacing w:after="0"/>
        <w:ind w:left="0"/>
        <w:jc w:val="both"/>
      </w:pPr>
      <w:r>
        <w:rPr>
          <w:rFonts w:ascii="Times New Roman"/>
          <w:b w:val="false"/>
          <w:i w:val="false"/>
          <w:color w:val="000000"/>
          <w:sz w:val="28"/>
        </w:rPr>
        <w:t xml:space="preserve">
      Уполномоченным органом по результатам рассмотрения заявки направляется заявителю уведомление об удовлетворении заявки на реализацию синхронизации работ или об отказе в ее удовлетворении в связи с несоответствием заявки требованиям, установленным настоящим пунктом Правил. </w:t>
      </w:r>
    </w:p>
    <w:bookmarkEnd w:id="25"/>
    <w:bookmarkStart w:name="z27" w:id="26"/>
    <w:p>
      <w:pPr>
        <w:spacing w:after="0"/>
        <w:ind w:left="0"/>
        <w:jc w:val="both"/>
      </w:pPr>
      <w:r>
        <w:rPr>
          <w:rFonts w:ascii="Times New Roman"/>
          <w:b w:val="false"/>
          <w:i w:val="false"/>
          <w:color w:val="000000"/>
          <w:sz w:val="28"/>
        </w:rPr>
        <w:t>
      Отказ в удовлетворении заявки или прекращение рабочей группой проведения мероприятий по синхронизации работ по основаниям, предусмотренным настоящими Правилами, не исключает возможность повторного обращения в уполномоченный орган в порядке, установленном настоящими Правилами при условии устранения заявителем ранее выявленных уполномоченным органом или рабочей группой несоответствий.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В течение десяти рабочих дней со дня направления уведомления об удовлетворении заявки на реализацию синхронизации работ уполномоченным органом созывается рабочая группа, которая совместно с заявителем осуществляет проверку функционала системы электронного закупа заявителя на соответствие порядку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213 Кодекса.</w:t>
      </w:r>
    </w:p>
    <w:bookmarkEnd w:id="27"/>
    <w:p>
      <w:pPr>
        <w:spacing w:after="0"/>
        <w:ind w:left="0"/>
        <w:jc w:val="both"/>
      </w:pPr>
      <w:r>
        <w:rPr>
          <w:rFonts w:ascii="Times New Roman"/>
          <w:b w:val="false"/>
          <w:i w:val="false"/>
          <w:color w:val="000000"/>
          <w:sz w:val="28"/>
        </w:rPr>
        <w:t>
      В случае соответствия функционала системы электронного закупа указанному в настоящем пункте порядку рабочей группой проводятся приемочные испытания синхронизации работ в порядке, определенном пунктом 8 настоящих Правил.</w:t>
      </w:r>
    </w:p>
    <w:p>
      <w:pPr>
        <w:spacing w:after="0"/>
        <w:ind w:left="0"/>
        <w:jc w:val="both"/>
      </w:pPr>
      <w:r>
        <w:rPr>
          <w:rFonts w:ascii="Times New Roman"/>
          <w:b w:val="false"/>
          <w:i w:val="false"/>
          <w:color w:val="000000"/>
          <w:sz w:val="28"/>
        </w:rPr>
        <w:t>
      В случае несоответствия функционала системы электронного закупа указанному в настоящем пункте порядку заявитель в течение десяти рабочих дней со дня составления протокола устраняет выявленные несоответствия.</w:t>
      </w:r>
    </w:p>
    <w:p>
      <w:pPr>
        <w:spacing w:after="0"/>
        <w:ind w:left="0"/>
        <w:jc w:val="both"/>
      </w:pPr>
      <w:r>
        <w:rPr>
          <w:rFonts w:ascii="Times New Roman"/>
          <w:b w:val="false"/>
          <w:i w:val="false"/>
          <w:color w:val="000000"/>
          <w:sz w:val="28"/>
        </w:rPr>
        <w:t>
      Не устранение в установленный срок выявленных рабочей группой несоответствий, при условии, что это не было обусловлено непреодолимой силой, или обнаружение на повторном заседании рабочей группы иных несоответствий функционала системы электронного закупа указанному в настоящем пункте Правил порядку, служат основанием для прекращения проведения мероприятий по синхронизации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До ввода синхронизации работ в промышленную эксплуатацию рабочей группой в течение десяти рабочих дней с момента составления протокола заседания рабочей группы, проведенного в соответствии с пунктом 7 настоящих Правил, осуществляются приемочные испытания синхронизации работ.</w:t>
      </w:r>
    </w:p>
    <w:bookmarkEnd w:id="28"/>
    <w:p>
      <w:pPr>
        <w:spacing w:after="0"/>
        <w:ind w:left="0"/>
        <w:jc w:val="both"/>
      </w:pPr>
      <w:r>
        <w:rPr>
          <w:rFonts w:ascii="Times New Roman"/>
          <w:b w:val="false"/>
          <w:i w:val="false"/>
          <w:color w:val="000000"/>
          <w:sz w:val="28"/>
        </w:rPr>
        <w:t xml:space="preserve">
      В случае отрицательного результата приемочных испытаний синхронизации работ заявитель в течение десяти рабочих дней с момента составления протокола устраняет несоответствия, возникшие при передаче в Реестр из системы электронного закупа информации, указанной в пункте 9 настоящих Правил, выявленные рабочей группой. Не устранение в установленный срок выявленных несоответствий при условии, что это не было обусловлено непреодолимой силой, служат основанием для прекращения проведения мероприятий по синхронизации работ. </w:t>
      </w:r>
    </w:p>
    <w:p>
      <w:pPr>
        <w:spacing w:after="0"/>
        <w:ind w:left="0"/>
        <w:jc w:val="both"/>
      </w:pPr>
      <w:r>
        <w:rPr>
          <w:rFonts w:ascii="Times New Roman"/>
          <w:b w:val="false"/>
          <w:i w:val="false"/>
          <w:color w:val="000000"/>
          <w:sz w:val="28"/>
        </w:rPr>
        <w:t>
      В случае положительного результата приемочных испытаний синхронизации работ рабочей группой осуществляется ввод синхронизации работ в промышленную эксплуатацию и составляется акт ввода синхронизации работ в промышленную эксплуатацию в количестве двух экземпляров (по одному для уполномоченного органа и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 проведении приемочных испытаний рабочей группой проверяется корректность передачи в Реестр из системы электронного закупа следующей информацией:</w:t>
      </w:r>
    </w:p>
    <w:bookmarkEnd w:id="29"/>
    <w:bookmarkStart w:name="z36" w:id="30"/>
    <w:p>
      <w:pPr>
        <w:spacing w:after="0"/>
        <w:ind w:left="0"/>
        <w:jc w:val="both"/>
      </w:pPr>
      <w:r>
        <w:rPr>
          <w:rFonts w:ascii="Times New Roman"/>
          <w:b w:val="false"/>
          <w:i w:val="false"/>
          <w:color w:val="000000"/>
          <w:sz w:val="28"/>
        </w:rPr>
        <w:t>
      1) объявление о приобретении товаров, работ и услуг (далее – ТРУ);</w:t>
      </w:r>
    </w:p>
    <w:bookmarkEnd w:id="30"/>
    <w:bookmarkStart w:name="z37" w:id="31"/>
    <w:p>
      <w:pPr>
        <w:spacing w:after="0"/>
        <w:ind w:left="0"/>
        <w:jc w:val="both"/>
      </w:pPr>
      <w:r>
        <w:rPr>
          <w:rFonts w:ascii="Times New Roman"/>
          <w:b w:val="false"/>
          <w:i w:val="false"/>
          <w:color w:val="000000"/>
          <w:sz w:val="28"/>
        </w:rPr>
        <w:t>
      2) протокол рассмотрения конкурсных заявок, представленных потенциальными поставщиками для участия в открытом конкурсе, открытом конкурсе на понижение (электронные торги) по приобретению ТРУ;</w:t>
      </w:r>
    </w:p>
    <w:bookmarkEnd w:id="31"/>
    <w:p>
      <w:pPr>
        <w:spacing w:after="0"/>
        <w:ind w:left="0"/>
        <w:jc w:val="both"/>
      </w:pPr>
      <w:r>
        <w:rPr>
          <w:rFonts w:ascii="Times New Roman"/>
          <w:b w:val="false"/>
          <w:i w:val="false"/>
          <w:color w:val="000000"/>
          <w:sz w:val="28"/>
        </w:rPr>
        <w:t>
      3) протокол подведения итогов приобретения ТРУ способом из одного источника;</w:t>
      </w:r>
    </w:p>
    <w:p>
      <w:pPr>
        <w:spacing w:after="0"/>
        <w:ind w:left="0"/>
        <w:jc w:val="both"/>
      </w:pPr>
      <w:r>
        <w:rPr>
          <w:rFonts w:ascii="Times New Roman"/>
          <w:b w:val="false"/>
          <w:i w:val="false"/>
          <w:color w:val="000000"/>
          <w:sz w:val="28"/>
        </w:rPr>
        <w:t>
      4) протокол подведения итогов открытого конкурса, открытого конкурса на понижение (электронные торги) по приобретению ТРУ;</w:t>
      </w:r>
    </w:p>
    <w:bookmarkStart w:name="z40" w:id="32"/>
    <w:p>
      <w:pPr>
        <w:spacing w:after="0"/>
        <w:ind w:left="0"/>
        <w:jc w:val="both"/>
      </w:pPr>
      <w:r>
        <w:rPr>
          <w:rFonts w:ascii="Times New Roman"/>
          <w:b w:val="false"/>
          <w:i w:val="false"/>
          <w:color w:val="000000"/>
          <w:sz w:val="28"/>
        </w:rPr>
        <w:t>
      5) измененные объекты базы данных;</w:t>
      </w:r>
    </w:p>
    <w:bookmarkEnd w:id="32"/>
    <w:bookmarkStart w:name="z41" w:id="33"/>
    <w:p>
      <w:pPr>
        <w:spacing w:after="0"/>
        <w:ind w:left="0"/>
        <w:jc w:val="both"/>
      </w:pPr>
      <w:r>
        <w:rPr>
          <w:rFonts w:ascii="Times New Roman"/>
          <w:b w:val="false"/>
          <w:i w:val="false"/>
          <w:color w:val="000000"/>
          <w:sz w:val="28"/>
        </w:rPr>
        <w:t>
      6) годовые (на один финансовый год) и среднесрочные (на пять финансовых лет) программы закупа ТРУ.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4"/>
    <w:p>
      <w:pPr>
        <w:spacing w:after="0"/>
        <w:ind w:left="0"/>
        <w:jc w:val="both"/>
      </w:pPr>
      <w:r>
        <w:rPr>
          <w:rFonts w:ascii="Times New Roman"/>
          <w:b w:val="false"/>
          <w:i w:val="false"/>
          <w:color w:val="000000"/>
          <w:sz w:val="28"/>
        </w:rPr>
        <w:t>
      10. Дата доступа заявителя к Реестру указывается в акте ввода синхронизации работ в промышленную эксплуатацию.</w:t>
      </w:r>
    </w:p>
    <w:bookmarkEnd w:id="34"/>
    <w:bookmarkStart w:name="z59" w:id="35"/>
    <w:p>
      <w:pPr>
        <w:spacing w:after="0"/>
        <w:ind w:left="0"/>
        <w:jc w:val="both"/>
      </w:pPr>
      <w:r>
        <w:rPr>
          <w:rFonts w:ascii="Times New Roman"/>
          <w:b w:val="false"/>
          <w:i w:val="false"/>
          <w:color w:val="000000"/>
          <w:sz w:val="28"/>
        </w:rPr>
        <w:t xml:space="preserve">
      11. После ввода синхронизации работ в промышленную эксплуатацию, заявитель обеспечивает неизменность ее условий, а также обеспечивает доступ уполномоченному органу к просмотру конкурсной документации и конкурсных заявок потенциальных поставщиков без права изменения представленной информации. </w:t>
      </w:r>
    </w:p>
    <w:bookmarkEnd w:id="35"/>
    <w:bookmarkStart w:name="z44" w:id="36"/>
    <w:p>
      <w:pPr>
        <w:spacing w:after="0"/>
        <w:ind w:left="0"/>
        <w:jc w:val="both"/>
      </w:pPr>
      <w:r>
        <w:rPr>
          <w:rFonts w:ascii="Times New Roman"/>
          <w:b w:val="false"/>
          <w:i w:val="false"/>
          <w:color w:val="000000"/>
          <w:sz w:val="28"/>
        </w:rPr>
        <w:t>
      Изменение условий синхронизации работ допускается по решению рабочей группы по результатам рассмотрения соответствующего заявления заявителя. В случае положительного решения рабочей группы заявителем обеспечивается неизменность условий синхронизации работ, действовавших до момента принятия такого решения, для завершения процедуры приобретения ТРУ в соответствии с порядком, предусмотренным пунктом 7 настоящих Правил.</w:t>
      </w:r>
    </w:p>
    <w:bookmarkEnd w:id="36"/>
    <w:bookmarkStart w:name="z45" w:id="37"/>
    <w:p>
      <w:pPr>
        <w:spacing w:after="0"/>
        <w:ind w:left="0"/>
        <w:jc w:val="both"/>
      </w:pPr>
      <w:r>
        <w:rPr>
          <w:rFonts w:ascii="Times New Roman"/>
          <w:b w:val="false"/>
          <w:i w:val="false"/>
          <w:color w:val="000000"/>
          <w:sz w:val="28"/>
        </w:rPr>
        <w:t xml:space="preserve">
      В случае изменения порядка, предусмотренного пунктом 7 настоящих Правил, заявитель приводит систему электронного закупа в соответствия такими изменениями в срок не позднее дня введения их в действие либо приостанавливает функционирование системы электронного закупа до момента приведения ее функционала в соответствие с такими изменениями. При этом заявителем обеспечивается возможность завершения приобретения ТРУ, осуществляемого с использованием системы электронного закупа, в соответствии с порядком, предусмотренным пунктом 7 настоящих Правил, действовавшим на дату начала проведения (размещения объявления) процедуры приобретения ТРУ. </w:t>
      </w:r>
    </w:p>
    <w:bookmarkEnd w:id="37"/>
    <w:bookmarkStart w:name="z46" w:id="38"/>
    <w:p>
      <w:pPr>
        <w:spacing w:after="0"/>
        <w:ind w:left="0"/>
        <w:jc w:val="both"/>
      </w:pPr>
      <w:r>
        <w:rPr>
          <w:rFonts w:ascii="Times New Roman"/>
          <w:b w:val="false"/>
          <w:i w:val="false"/>
          <w:color w:val="000000"/>
          <w:sz w:val="28"/>
        </w:rPr>
        <w:t>
      В случае несоблюдения требований настоящего пункта Правил уполномоченным органом в одностороннем порядке прекращается синхронизация работ. Расходы третьих лиц, возникшие в связи с несоблюдением требований настоящего пункта Правил, несет заявитель.</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12. В целях обеспечения сохранности, целостности и неизменности переданной информации уполномоченный орган в случае необходимости осуществляет аудит данных системы электронного закупа, а именно получает лог событий, список измененных объектов с указанием идентификаторов и измененных свойств.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13. В Реестре и системе электронного закупа обеспечивается проверка целостности полученной информации и формирование сообщения-ответа. Фиксация всех временных параметров в процессе приема-передачи информации производится по времени города Нур-Султан.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индустрии и инфраструктурного развития РК от 14.08.2019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14. Работы по осуществлению синхронизации работ включают в себя разработку и публикацию соответствующих сервисов на стороне системы электронного закупа.</w:t>
      </w:r>
    </w:p>
    <w:bookmarkEnd w:id="41"/>
    <w:bookmarkStart w:name="z63" w:id="42"/>
    <w:p>
      <w:pPr>
        <w:spacing w:after="0"/>
        <w:ind w:left="0"/>
        <w:jc w:val="both"/>
      </w:pPr>
      <w:r>
        <w:rPr>
          <w:rFonts w:ascii="Times New Roman"/>
          <w:b w:val="false"/>
          <w:i w:val="false"/>
          <w:color w:val="000000"/>
          <w:sz w:val="28"/>
        </w:rPr>
        <w:t xml:space="preserve">
      15. Синхронизация работ осуществляется посредством сервисов в соответствии со схемами передачи данных,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42"/>
    <w:bookmarkStart w:name="z64" w:id="43"/>
    <w:p>
      <w:pPr>
        <w:spacing w:after="0"/>
        <w:ind w:left="0"/>
        <w:jc w:val="both"/>
      </w:pPr>
      <w:r>
        <w:rPr>
          <w:rFonts w:ascii="Times New Roman"/>
          <w:b w:val="false"/>
          <w:i w:val="false"/>
          <w:color w:val="000000"/>
          <w:sz w:val="28"/>
        </w:rPr>
        <w:t xml:space="preserve">
      16. Виды информационного взаимодействия между Реестром и системой электронного закупа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3"/>
    <w:bookmarkStart w:name="z65" w:id="44"/>
    <w:p>
      <w:pPr>
        <w:spacing w:after="0"/>
        <w:ind w:left="0"/>
        <w:jc w:val="both"/>
      </w:pPr>
      <w:r>
        <w:rPr>
          <w:rFonts w:ascii="Times New Roman"/>
          <w:b w:val="false"/>
          <w:i w:val="false"/>
          <w:color w:val="000000"/>
          <w:sz w:val="28"/>
        </w:rPr>
        <w:t xml:space="preserve">
      17. Классификаторы и справочники, используемые при синхронизации работ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44"/>
    <w:bookmarkStart w:name="z66" w:id="45"/>
    <w:p>
      <w:pPr>
        <w:spacing w:after="0"/>
        <w:ind w:left="0"/>
        <w:jc w:val="both"/>
      </w:pPr>
      <w:r>
        <w:rPr>
          <w:rFonts w:ascii="Times New Roman"/>
          <w:b w:val="false"/>
          <w:i w:val="false"/>
          <w:color w:val="000000"/>
          <w:sz w:val="28"/>
        </w:rPr>
        <w:t>
      18. Информационное взаимодействие при синхронизации работ осуществляется с соблюдением условий по:</w:t>
      </w:r>
    </w:p>
    <w:bookmarkEnd w:id="45"/>
    <w:bookmarkStart w:name="z67" w:id="46"/>
    <w:p>
      <w:pPr>
        <w:spacing w:after="0"/>
        <w:ind w:left="0"/>
        <w:jc w:val="both"/>
      </w:pPr>
      <w:r>
        <w:rPr>
          <w:rFonts w:ascii="Times New Roman"/>
          <w:b w:val="false"/>
          <w:i w:val="false"/>
          <w:color w:val="000000"/>
          <w:sz w:val="28"/>
        </w:rPr>
        <w:t>
      1) передачи информации в синхронном или асинхронном режиме;</w:t>
      </w:r>
    </w:p>
    <w:bookmarkEnd w:id="46"/>
    <w:bookmarkStart w:name="z68" w:id="47"/>
    <w:p>
      <w:pPr>
        <w:spacing w:after="0"/>
        <w:ind w:left="0"/>
        <w:jc w:val="both"/>
      </w:pPr>
      <w:r>
        <w:rPr>
          <w:rFonts w:ascii="Times New Roman"/>
          <w:b w:val="false"/>
          <w:i w:val="false"/>
          <w:color w:val="000000"/>
          <w:sz w:val="28"/>
        </w:rPr>
        <w:t>
      2) непрерывной актуализации передаваемой информации;</w:t>
      </w:r>
    </w:p>
    <w:bookmarkEnd w:id="47"/>
    <w:bookmarkStart w:name="z69" w:id="48"/>
    <w:p>
      <w:pPr>
        <w:spacing w:after="0"/>
        <w:ind w:left="0"/>
        <w:jc w:val="both"/>
      </w:pPr>
      <w:r>
        <w:rPr>
          <w:rFonts w:ascii="Times New Roman"/>
          <w:b w:val="false"/>
          <w:i w:val="false"/>
          <w:color w:val="000000"/>
          <w:sz w:val="28"/>
        </w:rPr>
        <w:t>
      3) передачи информации в Реестр в течение одного часа после ее формирования в системе электронного закупа;</w:t>
      </w:r>
    </w:p>
    <w:bookmarkEnd w:id="48"/>
    <w:bookmarkStart w:name="z70" w:id="49"/>
    <w:p>
      <w:pPr>
        <w:spacing w:after="0"/>
        <w:ind w:left="0"/>
        <w:jc w:val="both"/>
      </w:pPr>
      <w:r>
        <w:rPr>
          <w:rFonts w:ascii="Times New Roman"/>
          <w:b w:val="false"/>
          <w:i w:val="false"/>
          <w:color w:val="000000"/>
          <w:sz w:val="28"/>
        </w:rPr>
        <w:t>
      4) извещения о предстоящем проведении технических работ в Реестре;</w:t>
      </w:r>
    </w:p>
    <w:bookmarkEnd w:id="49"/>
    <w:bookmarkStart w:name="z71" w:id="50"/>
    <w:p>
      <w:pPr>
        <w:spacing w:after="0"/>
        <w:ind w:left="0"/>
        <w:jc w:val="both"/>
      </w:pPr>
      <w:r>
        <w:rPr>
          <w:rFonts w:ascii="Times New Roman"/>
          <w:b w:val="false"/>
          <w:i w:val="false"/>
          <w:color w:val="000000"/>
          <w:sz w:val="28"/>
        </w:rPr>
        <w:t>
      5) применения для организации информационного взаимодействия сервисов и программных интерфейсов, использующих язык описания информации в виде XML, спецификации простого протокола доступа к объектам (SOAP);</w:t>
      </w:r>
    </w:p>
    <w:bookmarkEnd w:id="50"/>
    <w:bookmarkStart w:name="z72" w:id="51"/>
    <w:p>
      <w:pPr>
        <w:spacing w:after="0"/>
        <w:ind w:left="0"/>
        <w:jc w:val="both"/>
      </w:pPr>
      <w:r>
        <w:rPr>
          <w:rFonts w:ascii="Times New Roman"/>
          <w:b w:val="false"/>
          <w:i w:val="false"/>
          <w:color w:val="000000"/>
          <w:sz w:val="28"/>
        </w:rPr>
        <w:t>
      6) использования для передачи информации транспортного протокола (TCP) и протокола передачи гипертекста (HTTP/HTTPS);</w:t>
      </w:r>
    </w:p>
    <w:bookmarkEnd w:id="51"/>
    <w:bookmarkStart w:name="z73" w:id="52"/>
    <w:p>
      <w:pPr>
        <w:spacing w:after="0"/>
        <w:ind w:left="0"/>
        <w:jc w:val="both"/>
      </w:pPr>
      <w:r>
        <w:rPr>
          <w:rFonts w:ascii="Times New Roman"/>
          <w:b w:val="false"/>
          <w:i w:val="false"/>
          <w:color w:val="000000"/>
          <w:sz w:val="28"/>
        </w:rPr>
        <w:t>
      7) своевременного принятия мер по выявлению и устранению причин возникновения повреждения (искажения) информации в процессе ее передачи, а также аварийных ситуаций.</w:t>
      </w:r>
    </w:p>
    <w:bookmarkEnd w:id="52"/>
    <w:bookmarkStart w:name="z74" w:id="53"/>
    <w:p>
      <w:pPr>
        <w:spacing w:after="0"/>
        <w:ind w:left="0"/>
        <w:jc w:val="both"/>
      </w:pPr>
      <w:r>
        <w:rPr>
          <w:rFonts w:ascii="Times New Roman"/>
          <w:b w:val="false"/>
          <w:i w:val="false"/>
          <w:color w:val="000000"/>
          <w:sz w:val="28"/>
        </w:rPr>
        <w:t>
      19. Информационное взаимодействие при синхронизации работ осуществляется с использованием программного обеспечения, технических и иных средств, предназначенных и используемых для обеспечения защиты информации.</w:t>
      </w:r>
    </w:p>
    <w:bookmarkEnd w:id="53"/>
    <w:bookmarkStart w:name="z223" w:id="54"/>
    <w:p>
      <w:pPr>
        <w:spacing w:after="0"/>
        <w:ind w:left="0"/>
        <w:jc w:val="both"/>
      </w:pPr>
      <w:r>
        <w:rPr>
          <w:rFonts w:ascii="Times New Roman"/>
          <w:b w:val="false"/>
          <w:i w:val="false"/>
          <w:color w:val="000000"/>
          <w:sz w:val="28"/>
        </w:rPr>
        <w:t>
      20. В случае если по истечении непрерывных шести месяцев передача информации, предусмотренной пунктом 9 настоящих Правил, в Реестр из системы электронных закупок не осуществлялась уполномоченным органом в одностороннем порядке прекращается синхронизации работ с направлением в адрес заявителя соответствующего уведомления.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 в соответствии с приказом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55"/>
    <w:p>
      <w:pPr>
        <w:spacing w:after="0"/>
        <w:ind w:left="0"/>
        <w:jc w:val="both"/>
      </w:pPr>
      <w:r>
        <w:rPr>
          <w:rFonts w:ascii="Times New Roman"/>
          <w:b w:val="false"/>
          <w:i w:val="false"/>
          <w:color w:val="000000"/>
          <w:sz w:val="28"/>
        </w:rPr>
        <w:t>
      21. Расходы по реализации синхронизации работ несет заявитель, выступающий инициатором осуществления синхронизации работ.</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индустрии и инфраструктурного развития РК от 18.01.2022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синхронизации</w:t>
            </w:r>
            <w:r>
              <w:br/>
            </w:r>
            <w:r>
              <w:rPr>
                <w:rFonts w:ascii="Times New Roman"/>
                <w:b w:val="false"/>
                <w:i w:val="false"/>
                <w:color w:val="000000"/>
                <w:sz w:val="20"/>
              </w:rPr>
              <w:t>работы систем электронного</w:t>
            </w:r>
            <w:r>
              <w:br/>
            </w:r>
            <w:r>
              <w:rPr>
                <w:rFonts w:ascii="Times New Roman"/>
                <w:b w:val="false"/>
                <w:i w:val="false"/>
                <w:color w:val="000000"/>
                <w:sz w:val="20"/>
              </w:rPr>
              <w:t>закупа в отношении твердых</w:t>
            </w:r>
            <w:r>
              <w:br/>
            </w:r>
            <w:r>
              <w:rPr>
                <w:rFonts w:ascii="Times New Roman"/>
                <w:b w:val="false"/>
                <w:i w:val="false"/>
                <w:color w:val="000000"/>
                <w:sz w:val="20"/>
              </w:rPr>
              <w:t>полезных ископаемых с работой</w:t>
            </w:r>
            <w:r>
              <w:br/>
            </w:r>
            <w:r>
              <w:rPr>
                <w:rFonts w:ascii="Times New Roman"/>
                <w:b w:val="false"/>
                <w:i w:val="false"/>
                <w:color w:val="000000"/>
                <w:sz w:val="20"/>
              </w:rPr>
              <w:t>реестра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w:t>
            </w:r>
            <w:r>
              <w:br/>
            </w:r>
            <w:r>
              <w:rPr>
                <w:rFonts w:ascii="Times New Roman"/>
                <w:b w:val="false"/>
                <w:i w:val="false"/>
                <w:color w:val="000000"/>
                <w:sz w:val="20"/>
              </w:rPr>
              <w:t>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18.01.2022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56"/>
    <w:p>
      <w:pPr>
        <w:spacing w:after="0"/>
        <w:ind w:left="0"/>
        <w:jc w:val="left"/>
      </w:pPr>
      <w:r>
        <w:rPr>
          <w:rFonts w:ascii="Times New Roman"/>
          <w:b/>
          <w:i w:val="false"/>
          <w:color w:val="000000"/>
        </w:rPr>
        <w:t xml:space="preserve"> ЗАЯВКА</w:t>
      </w:r>
      <w:r>
        <w:br/>
      </w:r>
      <w:r>
        <w:rPr>
          <w:rFonts w:ascii="Times New Roman"/>
          <w:b/>
          <w:i w:val="false"/>
          <w:color w:val="000000"/>
        </w:rPr>
        <w:t>на реализацию синхронизации работы систем электронного закупа в отношении</w:t>
      </w:r>
      <w:r>
        <w:br/>
      </w:r>
      <w:r>
        <w:rPr>
          <w:rFonts w:ascii="Times New Roman"/>
          <w:b/>
          <w:i w:val="false"/>
          <w:color w:val="000000"/>
        </w:rPr>
        <w:t>твердых полезных ископаемых с реестром товаров, работ и услуг,</w:t>
      </w:r>
      <w:r>
        <w:br/>
      </w:r>
      <w:r>
        <w:rPr>
          <w:rFonts w:ascii="Times New Roman"/>
          <w:b/>
          <w:i w:val="false"/>
          <w:color w:val="000000"/>
        </w:rPr>
        <w:t>используемых при проведении операций по недропользованию, и их производителей</w:t>
      </w:r>
    </w:p>
    <w:bookmarkEnd w:id="5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(наименование заявителя, фамилия, имя, отчество (при его наличии) заявителя)</w:t>
      </w:r>
    </w:p>
    <w:p>
      <w:pPr>
        <w:spacing w:after="0"/>
        <w:ind w:left="0"/>
        <w:jc w:val="both"/>
      </w:pPr>
      <w:r>
        <w:rPr>
          <w:rFonts w:ascii="Times New Roman"/>
          <w:b w:val="false"/>
          <w:i w:val="false"/>
          <w:color w:val="000000"/>
          <w:sz w:val="28"/>
        </w:rPr>
        <w:t>заявляет о готовности к синхронизации работы систем электронного закупа</w:t>
      </w:r>
    </w:p>
    <w:p>
      <w:pPr>
        <w:spacing w:after="0"/>
        <w:ind w:left="0"/>
        <w:jc w:val="both"/>
      </w:pPr>
      <w:r>
        <w:rPr>
          <w:rFonts w:ascii="Times New Roman"/>
          <w:b w:val="false"/>
          <w:i w:val="false"/>
          <w:color w:val="000000"/>
          <w:sz w:val="28"/>
        </w:rPr>
        <w:t>в отношении твердых полезных ископаемых</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системы электронных закупок) с реестром товаров, работ и услуг,</w:t>
      </w:r>
    </w:p>
    <w:p>
      <w:pPr>
        <w:spacing w:after="0"/>
        <w:ind w:left="0"/>
        <w:jc w:val="both"/>
      </w:pPr>
      <w:r>
        <w:rPr>
          <w:rFonts w:ascii="Times New Roman"/>
          <w:b w:val="false"/>
          <w:i w:val="false"/>
          <w:color w:val="000000"/>
          <w:sz w:val="28"/>
        </w:rPr>
        <w:t xml:space="preserve">используемых при проведении операций по недропользованию, и их производителей </w:t>
      </w:r>
    </w:p>
    <w:p>
      <w:pPr>
        <w:spacing w:after="0"/>
        <w:ind w:left="0"/>
        <w:jc w:val="both"/>
      </w:pPr>
      <w:r>
        <w:rPr>
          <w:rFonts w:ascii="Times New Roman"/>
          <w:b w:val="false"/>
          <w:i w:val="false"/>
          <w:color w:val="000000"/>
          <w:sz w:val="28"/>
        </w:rPr>
        <w:t>далее – Реестр).</w:t>
      </w:r>
    </w:p>
    <w:p>
      <w:pPr>
        <w:spacing w:after="0"/>
        <w:ind w:left="0"/>
        <w:jc w:val="both"/>
      </w:pPr>
      <w:r>
        <w:rPr>
          <w:rFonts w:ascii="Times New Roman"/>
          <w:b w:val="false"/>
          <w:i w:val="false"/>
          <w:color w:val="000000"/>
          <w:sz w:val="28"/>
        </w:rPr>
        <w:t>1. Веб-адрес системы электронных закупок: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 Нотариально засвидетельствованная копия (электронный документ) акта</w:t>
      </w:r>
    </w:p>
    <w:p>
      <w:pPr>
        <w:spacing w:after="0"/>
        <w:ind w:left="0"/>
        <w:jc w:val="both"/>
      </w:pPr>
      <w:r>
        <w:rPr>
          <w:rFonts w:ascii="Times New Roman"/>
          <w:b w:val="false"/>
          <w:i w:val="false"/>
          <w:color w:val="000000"/>
          <w:sz w:val="28"/>
        </w:rPr>
        <w:t>по результатам испытаний на соответствие требованиям информационной</w:t>
      </w:r>
    </w:p>
    <w:p>
      <w:pPr>
        <w:spacing w:after="0"/>
        <w:ind w:left="0"/>
        <w:jc w:val="both"/>
      </w:pPr>
      <w:r>
        <w:rPr>
          <w:rFonts w:ascii="Times New Roman"/>
          <w:b w:val="false"/>
          <w:i w:val="false"/>
          <w:color w:val="000000"/>
          <w:sz w:val="28"/>
        </w:rPr>
        <w:t>безопасности на ________ листах прилагается.</w:t>
      </w:r>
    </w:p>
    <w:p>
      <w:pPr>
        <w:spacing w:after="0"/>
        <w:ind w:left="0"/>
        <w:jc w:val="both"/>
      </w:pPr>
      <w:r>
        <w:rPr>
          <w:rFonts w:ascii="Times New Roman"/>
          <w:b w:val="false"/>
          <w:i w:val="false"/>
          <w:color w:val="000000"/>
          <w:sz w:val="28"/>
        </w:rPr>
        <w:t>3. Нотариально засвидетельствованная копия технической документации на систему</w:t>
      </w:r>
    </w:p>
    <w:p>
      <w:pPr>
        <w:spacing w:after="0"/>
        <w:ind w:left="0"/>
        <w:jc w:val="both"/>
      </w:pPr>
      <w:r>
        <w:rPr>
          <w:rFonts w:ascii="Times New Roman"/>
          <w:b w:val="false"/>
          <w:i w:val="false"/>
          <w:color w:val="000000"/>
          <w:sz w:val="28"/>
        </w:rPr>
        <w:t>электронных закупок на ________ листах прилагается.</w:t>
      </w:r>
    </w:p>
    <w:p>
      <w:pPr>
        <w:spacing w:after="0"/>
        <w:ind w:left="0"/>
        <w:jc w:val="both"/>
      </w:pPr>
      <w:r>
        <w:rPr>
          <w:rFonts w:ascii="Times New Roman"/>
          <w:b w:val="false"/>
          <w:i w:val="false"/>
          <w:color w:val="000000"/>
          <w:sz w:val="28"/>
        </w:rPr>
        <w:t>4. _______________________________________________________________________.</w:t>
      </w:r>
    </w:p>
    <w:p>
      <w:pPr>
        <w:spacing w:after="0"/>
        <w:ind w:left="0"/>
        <w:jc w:val="both"/>
      </w:pPr>
      <w:r>
        <w:rPr>
          <w:rFonts w:ascii="Times New Roman"/>
          <w:b w:val="false"/>
          <w:i w:val="false"/>
          <w:color w:val="000000"/>
          <w:sz w:val="28"/>
        </w:rPr>
        <w:t>(наименование или фамилия, имя, отчество (при наличии) заявителя) готов провести</w:t>
      </w:r>
    </w:p>
    <w:p>
      <w:pPr>
        <w:spacing w:after="0"/>
        <w:ind w:left="0"/>
        <w:jc w:val="both"/>
      </w:pPr>
      <w:r>
        <w:rPr>
          <w:rFonts w:ascii="Times New Roman"/>
          <w:b w:val="false"/>
          <w:i w:val="false"/>
          <w:color w:val="000000"/>
          <w:sz w:val="28"/>
        </w:rPr>
        <w:t>мероприятия по синхронизации работы системы электронного закупа с работой</w:t>
      </w:r>
    </w:p>
    <w:p>
      <w:pPr>
        <w:spacing w:after="0"/>
        <w:ind w:left="0"/>
        <w:jc w:val="both"/>
      </w:pPr>
      <w:r>
        <w:rPr>
          <w:rFonts w:ascii="Times New Roman"/>
          <w:b w:val="false"/>
          <w:i w:val="false"/>
          <w:color w:val="000000"/>
          <w:sz w:val="28"/>
        </w:rPr>
        <w:t>Реестра ______________ _____________________________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"____" 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синхронизации</w:t>
            </w:r>
            <w:r>
              <w:br/>
            </w:r>
            <w:r>
              <w:rPr>
                <w:rFonts w:ascii="Times New Roman"/>
                <w:b w:val="false"/>
                <w:i w:val="false"/>
                <w:color w:val="000000"/>
                <w:sz w:val="20"/>
              </w:rPr>
              <w:t>работы систем электронного</w:t>
            </w:r>
            <w:r>
              <w:br/>
            </w:r>
            <w:r>
              <w:rPr>
                <w:rFonts w:ascii="Times New Roman"/>
                <w:b w:val="false"/>
                <w:i w:val="false"/>
                <w:color w:val="000000"/>
                <w:sz w:val="20"/>
              </w:rPr>
              <w:t>закупа в отношении твердых</w:t>
            </w:r>
            <w:r>
              <w:br/>
            </w:r>
            <w:r>
              <w:rPr>
                <w:rFonts w:ascii="Times New Roman"/>
                <w:b w:val="false"/>
                <w:i w:val="false"/>
                <w:color w:val="000000"/>
                <w:sz w:val="20"/>
              </w:rPr>
              <w:t>полезных ископаемых с работой</w:t>
            </w:r>
            <w:r>
              <w:br/>
            </w:r>
            <w:r>
              <w:rPr>
                <w:rFonts w:ascii="Times New Roman"/>
                <w:b w:val="false"/>
                <w:i w:val="false"/>
                <w:color w:val="000000"/>
                <w:sz w:val="20"/>
              </w:rPr>
              <w:t>реестра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r>
              <w:br/>
            </w:r>
          </w:p>
        </w:tc>
      </w:tr>
    </w:tbl>
    <w:bookmarkStart w:name="z81" w:id="57"/>
    <w:p>
      <w:pPr>
        <w:spacing w:after="0"/>
        <w:ind w:left="0"/>
        <w:jc w:val="left"/>
      </w:pPr>
      <w:r>
        <w:rPr>
          <w:rFonts w:ascii="Times New Roman"/>
          <w:b/>
          <w:i w:val="false"/>
          <w:color w:val="000000"/>
        </w:rPr>
        <w:t xml:space="preserve"> СХЕМЫ ПЕРЕДАЧИ ДАННЫХ</w:t>
      </w:r>
    </w:p>
    <w:bookmarkEnd w:id="57"/>
    <w:bookmarkStart w:name="z82" w:id="58"/>
    <w:p>
      <w:pPr>
        <w:spacing w:after="0"/>
        <w:ind w:left="0"/>
        <w:jc w:val="both"/>
      </w:pPr>
      <w:r>
        <w:rPr>
          <w:rFonts w:ascii="Times New Roman"/>
          <w:b w:val="false"/>
          <w:i w:val="false"/>
          <w:color w:val="000000"/>
          <w:sz w:val="28"/>
        </w:rPr>
        <w:t>
      1. Схема "Предоставление информации о закупках недропользователей из системы электронных закупок"</w:t>
      </w:r>
    </w:p>
    <w:bookmarkEnd w:id="58"/>
    <w:bookmarkStart w:name="z8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5372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Наименование:</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закупе недропользователей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Краткое описание:</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закупе недропользователей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Контекст:</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закупе недропользователей производится в синхронном режиме при наличии новых/измененных записей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Основной процесс</w:t>
            </w:r>
          </w:p>
          <w:bookmarkEnd w:id="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СЭЗ</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1. СЭЗ передает новые/измененные записи и отправляет в Реестр.</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Реестр проверяет целостность принятых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Реестр проверяет наличие и достоверность/актуальность сертификата электронную цифровой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Реестр осуществляет формато-логический контроль принятых данных в автоматическом режиме.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Альтернативный процесс. Данные приняты</w:t>
            </w:r>
          </w:p>
          <w:bookmarkEnd w:id="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Реестр формирует сообщение о приеме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6. СЭЗ принимает сообщение.</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Альтернативный процесс. Данные не приняты</w:t>
            </w:r>
          </w:p>
          <w:bookmarkEnd w:id="7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Реестр формирует сообщение об ошибке.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8. СЭЗ повторно передает новые/измененные записи и отправляет в Реестр.</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75"/>
    <w:p>
      <w:pPr>
        <w:spacing w:after="0"/>
        <w:ind w:left="0"/>
        <w:jc w:val="both"/>
      </w:pPr>
      <w:r>
        <w:rPr>
          <w:rFonts w:ascii="Times New Roman"/>
          <w:b w:val="false"/>
          <w:i w:val="false"/>
          <w:color w:val="000000"/>
          <w:sz w:val="28"/>
        </w:rPr>
        <w:t>
      2. Схема "Запрос изменяемых данных из Реестра"</w:t>
      </w:r>
    </w:p>
    <w:bookmarkEnd w:id="75"/>
    <w:bookmarkStart w:name="z100"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9977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Наименование:</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изменяемых данных из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Контекст:</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измененных полей справочников производится в автоматическом режиме при наличии новых/измененных записей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Основной процесс</w:t>
            </w:r>
          </w:p>
          <w:bookmarkEnd w:id="7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СЭЗ</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1. СЭЗ инициирует запрос на получение данных из Реестра. Формируется и передается пакет запроса.</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Реестр производит валидацию запроса.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Альтернативный процесс. Изменение данных по запросу не требуется</w:t>
            </w:r>
          </w:p>
          <w:bookmarkEnd w:id="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Реестр передает ответ в СЭЗ по запросу об отсутствии надобности в пополнении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Альтернативный процесс. Изменение данных по запросу требуется</w:t>
            </w:r>
          </w:p>
          <w:bookmarkEnd w:id="8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w:t>
            </w:r>
          </w:p>
          <w:bookmarkEnd w:id="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Реестр формирует запрос на пополнение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xml:space="preserve">
5. СЭЗ формирует дополнительные данные по запросу. </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p>
          <w:bookmarkEnd w:id="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Реестр пересылает идентификаторы полученных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7. СЭЗ принимает сообщение.</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90"/>
    <w:p>
      <w:pPr>
        <w:spacing w:after="0"/>
        <w:ind w:left="0"/>
        <w:jc w:val="both"/>
      </w:pPr>
      <w:r>
        <w:rPr>
          <w:rFonts w:ascii="Times New Roman"/>
          <w:b w:val="false"/>
          <w:i w:val="false"/>
          <w:color w:val="000000"/>
          <w:sz w:val="28"/>
        </w:rPr>
        <w:t xml:space="preserve">
      3. Схема "Запрос справочных данных из Реестра" </w:t>
      </w:r>
    </w:p>
    <w:bookmarkEnd w:id="90"/>
    <w:bookmarkStart w:name="z11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4676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Наименование:</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справочных данных Реестра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Контекст:</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полей справочников производится в синхронном режиме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Основной процесс</w:t>
            </w:r>
          </w:p>
          <w:bookmarkEnd w:id="9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СЭЗ</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1. СЭЗ инициирует запрос на получение данных из Реестра. Формируется и передается пакет запроса.</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Реестр производит валидацию запроса.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Реестр передает данные из справочников в СЭЗ по запросу.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4. СЭЗ принимает сообщение.</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0"/>
    <w:p>
      <w:pPr>
        <w:spacing w:after="0"/>
        <w:ind w:left="0"/>
        <w:jc w:val="both"/>
      </w:pPr>
      <w:r>
        <w:rPr>
          <w:rFonts w:ascii="Times New Roman"/>
          <w:b w:val="false"/>
          <w:i w:val="false"/>
          <w:color w:val="000000"/>
          <w:sz w:val="28"/>
        </w:rPr>
        <w:t xml:space="preserve">
      4. Схема "Получение справочных данных поставщика" </w:t>
      </w:r>
    </w:p>
    <w:bookmarkEnd w:id="100"/>
    <w:bookmarkStart w:name="z125"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4381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81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Наименование:</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справочных данных поставщика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Контекст:</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измененных полей по карточкам поставщиков производится в полуавтоматическом режиме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Основной процесс</w:t>
            </w:r>
          </w:p>
          <w:bookmarkEnd w:id="10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СЭЗ</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1. СЭЗ инициирует запрос на получение данных из Реестра. Формируется и передается пакет запроса.</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Реестр производит валидацию запроса.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Альтернативный процесс. Изменение данных по запросу требуется</w:t>
            </w:r>
          </w:p>
          <w:bookmarkEnd w:id="1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Реестр формирует запрос на пополнение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4. СЭЗ повторно инициирует запрос на получение данных из Реестра. Формируется и передается пакет запроса.</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Альтернативный процесс. Изменение данных по запросу не требуется</w:t>
            </w:r>
          </w:p>
          <w:bookmarkEnd w:id="11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Реестр формирует список для выбора со стороны СЭЗ.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6. СЭЗ осуществляет выбор в полуавтоматическом режиме. Формируется и передается пакет запроса.</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Реестр проверяет целостность принятых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Реестр проверяет наличие и достоверность/актуальность сертификата электронно-цифровой подписи.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Реестр осуществляет формато-логический контроль принятых данных в автоматическом режиме.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Альтернативный процесс. Данные приняты</w:t>
            </w:r>
          </w:p>
          <w:bookmarkEnd w:id="1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Реестр формирует и передает сообщение о приеме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Альтернативный процесс. Данные не приняты</w:t>
            </w:r>
          </w:p>
          <w:bookmarkEnd w:id="1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Реестр формирует сообщение об ошибке.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12. СЭЗ повторно передает новые/измененные записи и отправляет в Реестр.</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2"/>
    <w:p>
      <w:pPr>
        <w:spacing w:after="0"/>
        <w:ind w:left="0"/>
        <w:jc w:val="both"/>
      </w:pPr>
      <w:r>
        <w:rPr>
          <w:rFonts w:ascii="Times New Roman"/>
          <w:b w:val="false"/>
          <w:i w:val="false"/>
          <w:color w:val="000000"/>
          <w:sz w:val="28"/>
        </w:rPr>
        <w:t xml:space="preserve">
      5. Схема "Рассылка уведомлений из Реестра в систему электронного закупа" </w:t>
      </w:r>
    </w:p>
    <w:bookmarkEnd w:id="122"/>
    <w:bookmarkStart w:name="z147"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4445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Наименование:</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Рассылка уведомлений из Реестра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Контекст:</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Рассылка уведомлений о событиях из Реестра в СЭЗ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Основной процесс</w:t>
            </w:r>
          </w:p>
          <w:bookmarkEnd w:id="1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СЭЗ</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Реестр формирует текст уведомления для передачи в СЭЗ. Формируется и передается пакет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2. СЭЗ получает пакет данных.</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1"/>
    <w:p>
      <w:pPr>
        <w:spacing w:after="0"/>
        <w:ind w:left="0"/>
        <w:jc w:val="both"/>
      </w:pPr>
      <w:r>
        <w:rPr>
          <w:rFonts w:ascii="Times New Roman"/>
          <w:b w:val="false"/>
          <w:i w:val="false"/>
          <w:color w:val="000000"/>
          <w:sz w:val="28"/>
        </w:rPr>
        <w:t>
      6. Схема "Аудит целостности базы данных СЭЗ"</w:t>
      </w:r>
    </w:p>
    <w:bookmarkEnd w:id="131"/>
    <w:bookmarkStart w:name="z156"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4445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Наименование:</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целостности базы данных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Контекст:</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Основной процесс</w:t>
            </w:r>
          </w:p>
          <w:bookmarkEnd w:id="1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СЭЗ</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Реестр формирует запрос на аудит в СЭЗ.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2. СЭЗ формирует и передает пакет данных.</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0"/>
    <w:p>
      <w:pPr>
        <w:spacing w:after="0"/>
        <w:ind w:left="0"/>
        <w:jc w:val="both"/>
      </w:pPr>
      <w:r>
        <w:rPr>
          <w:rFonts w:ascii="Times New Roman"/>
          <w:b w:val="false"/>
          <w:i w:val="false"/>
          <w:color w:val="000000"/>
          <w:sz w:val="28"/>
        </w:rPr>
        <w:t xml:space="preserve">
      7. Схема "Загрузка СПЗ и (или) ГПЗ из СЭЗ в Реестр" </w:t>
      </w:r>
    </w:p>
    <w:bookmarkEnd w:id="140"/>
    <w:bookmarkStart w:name="z165"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53848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848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Наименование:</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СПЗ и (или) ГПЗ из СЭЗ в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Контекст:</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среднесрочной программы закупа и годовой программы закупа недропользователей в синхронном режиме при наличии новых записей. новых/измененных записей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Основной процесс</w:t>
            </w:r>
          </w:p>
          <w:bookmarkEnd w:id="1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СЭЗ</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1. СЭЗ передает новые записи СПЗ и (или) ГПЗ и отправляет в Реестр.</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Реестр проверяет целостность пакета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Реестр проверяет наличие и достоверность/актуальность сертификата электронную цифровой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Реестр осуществляет формато-логический контроль принятых данных в автоматическом режиме.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Альтернативный процесс. Данные приняты</w:t>
            </w:r>
          </w:p>
          <w:bookmarkEnd w:id="15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Реестр формирует сообщение о приеме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6. СЭЗ принимает сообщение.</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Альтернативный процесс. Данные не приняты</w:t>
            </w:r>
          </w:p>
          <w:bookmarkEnd w:id="1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Реестр формирует сообщение об ошибке.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8. СЭЗ повторно передает новые записи СПЗ и (или) ГПЗ и отправляет в Реестр.</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6"/>
    <w:p>
      <w:pPr>
        <w:spacing w:after="0"/>
        <w:ind w:left="0"/>
        <w:jc w:val="both"/>
      </w:pPr>
      <w:r>
        <w:rPr>
          <w:rFonts w:ascii="Times New Roman"/>
          <w:b w:val="false"/>
          <w:i w:val="false"/>
          <w:color w:val="000000"/>
          <w:sz w:val="28"/>
        </w:rPr>
        <w:t>
      8. Схема "Запрос на изменение данных СПЗ и (или) ГПЗ из СЭЗ в Реестр"</w:t>
      </w:r>
    </w:p>
    <w:bookmarkEnd w:id="156"/>
    <w:bookmarkStart w:name="z181"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53848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848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Наименование:</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изменение данных СПЗ и (или) ГПЗ из СЭЗ в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Контекст:</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среднесрочного плана закупа и годового плана закупа недропользователей в синхронном режиме при наличии измененных записей.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Основной процесс</w:t>
            </w:r>
          </w:p>
          <w:bookmarkEnd w:id="16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СЭЗ</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1. СЭЗ инициирует запрос на изменение данных записей СПЗ и (или) ГПЗ в Реестре. Формируется и передается пакет запроса.</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Реестр производит валидацию запроса.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Альтернативный процесс. Изменение данных по запросу не требуется</w:t>
            </w:r>
          </w:p>
          <w:bookmarkEnd w:id="16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Реестр передает ответ в СЭЗ по запросу.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Альтернативный процесс. Изменение данных по запросу требуется</w:t>
            </w:r>
          </w:p>
          <w:bookmarkEnd w:id="16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Реестр формирует запрос на пополнение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xml:space="preserve">
5. СЭЗ формирует дополнительные данные по запросу. </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Реестр пересылает идентификаторы полученных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7. СЭЗ принимает сообщение.</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1"/>
    <w:p>
      <w:pPr>
        <w:spacing w:after="0"/>
        <w:ind w:left="0"/>
        <w:jc w:val="both"/>
      </w:pPr>
      <w:r>
        <w:rPr>
          <w:rFonts w:ascii="Times New Roman"/>
          <w:b w:val="false"/>
          <w:i w:val="false"/>
          <w:color w:val="000000"/>
          <w:sz w:val="28"/>
        </w:rPr>
        <w:t xml:space="preserve">
      Примечание: </w:t>
      </w:r>
    </w:p>
    <w:bookmarkEnd w:id="171"/>
    <w:bookmarkStart w:name="z196" w:id="172"/>
    <w:p>
      <w:pPr>
        <w:spacing w:after="0"/>
        <w:ind w:left="0"/>
        <w:jc w:val="both"/>
      </w:pPr>
      <w:r>
        <w:rPr>
          <w:rFonts w:ascii="Times New Roman"/>
          <w:b w:val="false"/>
          <w:i w:val="false"/>
          <w:color w:val="000000"/>
          <w:sz w:val="28"/>
        </w:rPr>
        <w:t>
      расшифровка аббревиатур:</w:t>
      </w:r>
    </w:p>
    <w:bookmarkEnd w:id="172"/>
    <w:bookmarkStart w:name="z197" w:id="173"/>
    <w:p>
      <w:pPr>
        <w:spacing w:after="0"/>
        <w:ind w:left="0"/>
        <w:jc w:val="both"/>
      </w:pPr>
      <w:r>
        <w:rPr>
          <w:rFonts w:ascii="Times New Roman"/>
          <w:b w:val="false"/>
          <w:i w:val="false"/>
          <w:color w:val="000000"/>
          <w:sz w:val="28"/>
        </w:rPr>
        <w:t>
      СЭЗ – система электронного закупа;</w:t>
      </w:r>
    </w:p>
    <w:bookmarkEnd w:id="173"/>
    <w:bookmarkStart w:name="z198" w:id="174"/>
    <w:p>
      <w:pPr>
        <w:spacing w:after="0"/>
        <w:ind w:left="0"/>
        <w:jc w:val="both"/>
      </w:pPr>
      <w:r>
        <w:rPr>
          <w:rFonts w:ascii="Times New Roman"/>
          <w:b w:val="false"/>
          <w:i w:val="false"/>
          <w:color w:val="000000"/>
          <w:sz w:val="28"/>
        </w:rPr>
        <w:t>
      СПЗ – среднесрочная программа закупа;</w:t>
      </w:r>
    </w:p>
    <w:bookmarkEnd w:id="174"/>
    <w:bookmarkStart w:name="z199" w:id="175"/>
    <w:p>
      <w:pPr>
        <w:spacing w:after="0"/>
        <w:ind w:left="0"/>
        <w:jc w:val="both"/>
      </w:pPr>
      <w:r>
        <w:rPr>
          <w:rFonts w:ascii="Times New Roman"/>
          <w:b w:val="false"/>
          <w:i w:val="false"/>
          <w:color w:val="000000"/>
          <w:sz w:val="28"/>
        </w:rPr>
        <w:t>
      ГПЗ – годовая программа закупа;</w:t>
      </w:r>
    </w:p>
    <w:bookmarkEnd w:id="175"/>
    <w:bookmarkStart w:name="z200" w:id="176"/>
    <w:p>
      <w:pPr>
        <w:spacing w:after="0"/>
        <w:ind w:left="0"/>
        <w:jc w:val="both"/>
      </w:pPr>
      <w:r>
        <w:rPr>
          <w:rFonts w:ascii="Times New Roman"/>
          <w:b w:val="false"/>
          <w:i w:val="false"/>
          <w:color w:val="000000"/>
          <w:sz w:val="28"/>
        </w:rPr>
        <w:t>
      ЭЦП – электронно – цифровая подпись;</w:t>
      </w:r>
    </w:p>
    <w:bookmarkEnd w:id="176"/>
    <w:bookmarkStart w:name="z201" w:id="177"/>
    <w:p>
      <w:pPr>
        <w:spacing w:after="0"/>
        <w:ind w:left="0"/>
        <w:jc w:val="both"/>
      </w:pPr>
      <w:r>
        <w:rPr>
          <w:rFonts w:ascii="Times New Roman"/>
          <w:b w:val="false"/>
          <w:i w:val="false"/>
          <w:color w:val="000000"/>
          <w:sz w:val="28"/>
        </w:rPr>
        <w:t>
      Реестр – реестр товаров, работ и услуг, используемых при проведении операций по недропользованию, и их производителей.</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синхронизации</w:t>
            </w:r>
            <w:r>
              <w:br/>
            </w:r>
            <w:r>
              <w:rPr>
                <w:rFonts w:ascii="Times New Roman"/>
                <w:b w:val="false"/>
                <w:i w:val="false"/>
                <w:color w:val="000000"/>
                <w:sz w:val="20"/>
              </w:rPr>
              <w:t>работы систем электронного</w:t>
            </w:r>
            <w:r>
              <w:br/>
            </w:r>
            <w:r>
              <w:rPr>
                <w:rFonts w:ascii="Times New Roman"/>
                <w:b w:val="false"/>
                <w:i w:val="false"/>
                <w:color w:val="000000"/>
                <w:sz w:val="20"/>
              </w:rPr>
              <w:t>закупа в отношении твердых</w:t>
            </w:r>
            <w:r>
              <w:br/>
            </w:r>
            <w:r>
              <w:rPr>
                <w:rFonts w:ascii="Times New Roman"/>
                <w:b w:val="false"/>
                <w:i w:val="false"/>
                <w:color w:val="000000"/>
                <w:sz w:val="20"/>
              </w:rPr>
              <w:t>полезных ископаемых с работой</w:t>
            </w:r>
            <w:r>
              <w:br/>
            </w:r>
            <w:r>
              <w:rPr>
                <w:rFonts w:ascii="Times New Roman"/>
                <w:b w:val="false"/>
                <w:i w:val="false"/>
                <w:color w:val="000000"/>
                <w:sz w:val="20"/>
              </w:rPr>
              <w:t xml:space="preserve">реестра товаров, работ и услуг, </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 xml:space="preserve"> операций по недропользованию,</w:t>
            </w:r>
            <w:r>
              <w:br/>
            </w:r>
            <w:r>
              <w:rPr>
                <w:rFonts w:ascii="Times New Roman"/>
                <w:b w:val="false"/>
                <w:i w:val="false"/>
                <w:color w:val="000000"/>
                <w:sz w:val="20"/>
              </w:rPr>
              <w:t>и их производителей</w:t>
            </w:r>
          </w:p>
        </w:tc>
      </w:tr>
    </w:tbl>
    <w:bookmarkStart w:name="z203" w:id="178"/>
    <w:p>
      <w:pPr>
        <w:spacing w:after="0"/>
        <w:ind w:left="0"/>
        <w:jc w:val="left"/>
      </w:pPr>
      <w:r>
        <w:rPr>
          <w:rFonts w:ascii="Times New Roman"/>
          <w:b/>
          <w:i w:val="false"/>
          <w:color w:val="000000"/>
        </w:rPr>
        <w:t xml:space="preserve"> Виды информационного взаимодействия между Реестром и системой электронного закупа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1.</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закупа;</w:t>
            </w:r>
          </w:p>
          <w:p>
            <w:pPr>
              <w:spacing w:after="20"/>
              <w:ind w:left="20"/>
              <w:jc w:val="both"/>
            </w:pPr>
            <w:r>
              <w:rPr>
                <w:rFonts w:ascii="Times New Roman"/>
                <w:b w:val="false"/>
                <w:i w:val="false"/>
                <w:color w:val="000000"/>
                <w:sz w:val="20"/>
              </w:rPr>
              <w:t>
Изменение конкурсной документации;</w:t>
            </w:r>
          </w:p>
          <w:p>
            <w:pPr>
              <w:spacing w:after="20"/>
              <w:ind w:left="20"/>
              <w:jc w:val="both"/>
            </w:pPr>
            <w:r>
              <w:rPr>
                <w:rFonts w:ascii="Times New Roman"/>
                <w:b w:val="false"/>
                <w:i w:val="false"/>
                <w:color w:val="000000"/>
                <w:sz w:val="20"/>
              </w:rPr>
              <w:t>
Продление закупа;</w:t>
            </w:r>
          </w:p>
          <w:p>
            <w:pPr>
              <w:spacing w:after="20"/>
              <w:ind w:left="20"/>
              <w:jc w:val="both"/>
            </w:pPr>
            <w:r>
              <w:rPr>
                <w:rFonts w:ascii="Times New Roman"/>
                <w:b w:val="false"/>
                <w:i w:val="false"/>
                <w:color w:val="000000"/>
                <w:sz w:val="20"/>
              </w:rPr>
              <w:t>
Создание закупа из одного источника на базе закупа;</w:t>
            </w:r>
          </w:p>
          <w:p>
            <w:pPr>
              <w:spacing w:after="20"/>
              <w:ind w:left="20"/>
              <w:jc w:val="both"/>
            </w:pPr>
            <w:r>
              <w:rPr>
                <w:rFonts w:ascii="Times New Roman"/>
                <w:b w:val="false"/>
                <w:i w:val="false"/>
                <w:color w:val="000000"/>
                <w:sz w:val="20"/>
              </w:rPr>
              <w:t>
Создание списка поданных конкурсных заявок;</w:t>
            </w:r>
          </w:p>
          <w:p>
            <w:pPr>
              <w:spacing w:after="20"/>
              <w:ind w:left="20"/>
              <w:jc w:val="both"/>
            </w:pPr>
            <w:r>
              <w:rPr>
                <w:rFonts w:ascii="Times New Roman"/>
                <w:b w:val="false"/>
                <w:i w:val="false"/>
                <w:color w:val="000000"/>
                <w:sz w:val="20"/>
              </w:rPr>
              <w:t>
Создание списка поставщиков, скачавших конкурсную документацию;</w:t>
            </w:r>
          </w:p>
          <w:p>
            <w:pPr>
              <w:spacing w:after="20"/>
              <w:ind w:left="20"/>
              <w:jc w:val="both"/>
            </w:pPr>
            <w:r>
              <w:rPr>
                <w:rFonts w:ascii="Times New Roman"/>
                <w:b w:val="false"/>
                <w:i w:val="false"/>
                <w:color w:val="000000"/>
                <w:sz w:val="20"/>
              </w:rPr>
              <w:t>
Создание протоколов;</w:t>
            </w:r>
          </w:p>
          <w:p>
            <w:pPr>
              <w:spacing w:after="20"/>
              <w:ind w:left="20"/>
              <w:jc w:val="both"/>
            </w:pPr>
            <w:r>
              <w:rPr>
                <w:rFonts w:ascii="Times New Roman"/>
                <w:b w:val="false"/>
                <w:i w:val="false"/>
                <w:color w:val="000000"/>
                <w:sz w:val="20"/>
              </w:rPr>
              <w:t>
Изменение закупа, протоколов;</w:t>
            </w:r>
          </w:p>
          <w:p>
            <w:pPr>
              <w:spacing w:after="20"/>
              <w:ind w:left="20"/>
              <w:jc w:val="both"/>
            </w:pPr>
            <w:r>
              <w:rPr>
                <w:rFonts w:ascii="Times New Roman"/>
                <w:b w:val="false"/>
                <w:i w:val="false"/>
                <w:color w:val="000000"/>
                <w:sz w:val="20"/>
              </w:rPr>
              <w:t>
Удаление закупа, протоколов;</w:t>
            </w:r>
          </w:p>
          <w:p>
            <w:pPr>
              <w:spacing w:after="20"/>
              <w:ind w:left="20"/>
              <w:jc w:val="both"/>
            </w:pPr>
            <w:r>
              <w:rPr>
                <w:rFonts w:ascii="Times New Roman"/>
                <w:b w:val="false"/>
                <w:i w:val="false"/>
                <w:color w:val="000000"/>
                <w:sz w:val="20"/>
              </w:rPr>
              <w:t>
Добавление поставщика;</w:t>
            </w:r>
          </w:p>
          <w:p>
            <w:pPr>
              <w:spacing w:after="20"/>
              <w:ind w:left="20"/>
              <w:jc w:val="both"/>
            </w:pPr>
            <w:r>
              <w:rPr>
                <w:rFonts w:ascii="Times New Roman"/>
                <w:b w:val="false"/>
                <w:i w:val="false"/>
                <w:color w:val="000000"/>
                <w:sz w:val="20"/>
              </w:rPr>
              <w:t>
Удаление поставщика;</w:t>
            </w:r>
          </w:p>
          <w:p>
            <w:pPr>
              <w:spacing w:after="20"/>
              <w:ind w:left="20"/>
              <w:jc w:val="both"/>
            </w:pPr>
            <w:r>
              <w:rPr>
                <w:rFonts w:ascii="Times New Roman"/>
                <w:b w:val="false"/>
                <w:i w:val="false"/>
                <w:color w:val="000000"/>
                <w:sz w:val="20"/>
              </w:rPr>
              <w:t>
Изменения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2.</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обновление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полей справочников;</w:t>
            </w:r>
          </w:p>
          <w:p>
            <w:pPr>
              <w:spacing w:after="20"/>
              <w:ind w:left="20"/>
              <w:jc w:val="both"/>
            </w:pPr>
            <w:r>
              <w:rPr>
                <w:rFonts w:ascii="Times New Roman"/>
                <w:b w:val="false"/>
                <w:i w:val="false"/>
                <w:color w:val="000000"/>
                <w:sz w:val="20"/>
              </w:rPr>
              <w:t>
Проверка наличия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3.</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системных 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4.</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справочных данных на поставщиков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5.</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Рассылка уведомлений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об изменениях в справочниках, информационные рассылки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6.</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целостности баз данных;</w:t>
            </w:r>
          </w:p>
          <w:p>
            <w:pPr>
              <w:spacing w:after="20"/>
              <w:ind w:left="20"/>
              <w:jc w:val="both"/>
            </w:pPr>
            <w:r>
              <w:rPr>
                <w:rFonts w:ascii="Times New Roman"/>
                <w:b w:val="false"/>
                <w:i w:val="false"/>
                <w:color w:val="000000"/>
                <w:sz w:val="20"/>
              </w:rPr>
              <w:t>
Получение контрольных сумм;</w:t>
            </w:r>
          </w:p>
          <w:p>
            <w:pPr>
              <w:spacing w:after="20"/>
              <w:ind w:left="20"/>
              <w:jc w:val="both"/>
            </w:pPr>
            <w:r>
              <w:rPr>
                <w:rFonts w:ascii="Times New Roman"/>
                <w:b w:val="false"/>
                <w:i w:val="false"/>
                <w:color w:val="000000"/>
                <w:sz w:val="20"/>
              </w:rPr>
              <w:t>
Получение логов событий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r>
    </w:tbl>
    <w:bookmarkStart w:name="z211" w:id="186"/>
    <w:p>
      <w:pPr>
        <w:spacing w:after="0"/>
        <w:ind w:left="0"/>
        <w:jc w:val="both"/>
      </w:pPr>
      <w:r>
        <w:rPr>
          <w:rFonts w:ascii="Times New Roman"/>
          <w:b w:val="false"/>
          <w:i w:val="false"/>
          <w:color w:val="000000"/>
          <w:sz w:val="28"/>
        </w:rPr>
        <w:t xml:space="preserve">
      Примечание: </w:t>
      </w:r>
    </w:p>
    <w:bookmarkEnd w:id="186"/>
    <w:bookmarkStart w:name="z212" w:id="187"/>
    <w:p>
      <w:pPr>
        <w:spacing w:after="0"/>
        <w:ind w:left="0"/>
        <w:jc w:val="both"/>
      </w:pPr>
      <w:r>
        <w:rPr>
          <w:rFonts w:ascii="Times New Roman"/>
          <w:b w:val="false"/>
          <w:i w:val="false"/>
          <w:color w:val="000000"/>
          <w:sz w:val="28"/>
        </w:rPr>
        <w:t>
      расшифровка аббревиатур:</w:t>
      </w:r>
    </w:p>
    <w:bookmarkEnd w:id="187"/>
    <w:bookmarkStart w:name="z213" w:id="188"/>
    <w:p>
      <w:pPr>
        <w:spacing w:after="0"/>
        <w:ind w:left="0"/>
        <w:jc w:val="both"/>
      </w:pPr>
      <w:r>
        <w:rPr>
          <w:rFonts w:ascii="Times New Roman"/>
          <w:b w:val="false"/>
          <w:i w:val="false"/>
          <w:color w:val="000000"/>
          <w:sz w:val="28"/>
        </w:rPr>
        <w:t>
      СЭЗ – система электронного закупа;</w:t>
      </w:r>
    </w:p>
    <w:bookmarkEnd w:id="188"/>
    <w:bookmarkStart w:name="z214" w:id="189"/>
    <w:p>
      <w:pPr>
        <w:spacing w:after="0"/>
        <w:ind w:left="0"/>
        <w:jc w:val="both"/>
      </w:pPr>
      <w:r>
        <w:rPr>
          <w:rFonts w:ascii="Times New Roman"/>
          <w:b w:val="false"/>
          <w:i w:val="false"/>
          <w:color w:val="000000"/>
          <w:sz w:val="28"/>
        </w:rPr>
        <w:t>
      Реестр – реестр товаров, работ и услуг, используемых при проведении операций по недропользованию, и их производителей.</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синхронизации</w:t>
            </w:r>
            <w:r>
              <w:br/>
            </w:r>
            <w:r>
              <w:rPr>
                <w:rFonts w:ascii="Times New Roman"/>
                <w:b w:val="false"/>
                <w:i w:val="false"/>
                <w:color w:val="000000"/>
                <w:sz w:val="20"/>
              </w:rPr>
              <w:t>работы систем электронного</w:t>
            </w:r>
            <w:r>
              <w:br/>
            </w:r>
            <w:r>
              <w:rPr>
                <w:rFonts w:ascii="Times New Roman"/>
                <w:b w:val="false"/>
                <w:i w:val="false"/>
                <w:color w:val="000000"/>
                <w:sz w:val="20"/>
              </w:rPr>
              <w:t>закупа в отношении твердых</w:t>
            </w:r>
            <w:r>
              <w:br/>
            </w:r>
            <w:r>
              <w:rPr>
                <w:rFonts w:ascii="Times New Roman"/>
                <w:b w:val="false"/>
                <w:i w:val="false"/>
                <w:color w:val="000000"/>
                <w:sz w:val="20"/>
              </w:rPr>
              <w:t>полезных ископаемых с работой</w:t>
            </w:r>
            <w:r>
              <w:br/>
            </w:r>
            <w:r>
              <w:rPr>
                <w:rFonts w:ascii="Times New Roman"/>
                <w:b w:val="false"/>
                <w:i w:val="false"/>
                <w:color w:val="000000"/>
                <w:sz w:val="20"/>
              </w:rPr>
              <w:t xml:space="preserve">реестра товаров, работ и услуг, </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bl>
    <w:bookmarkStart w:name="z216" w:id="190"/>
    <w:p>
      <w:pPr>
        <w:spacing w:after="0"/>
        <w:ind w:left="0"/>
        <w:jc w:val="left"/>
      </w:pPr>
      <w:r>
        <w:rPr>
          <w:rFonts w:ascii="Times New Roman"/>
          <w:b/>
          <w:i w:val="false"/>
          <w:color w:val="000000"/>
        </w:rPr>
        <w:t xml:space="preserve"> Классификаторы и справочники используемые при синхронизации работ</w:t>
      </w:r>
    </w:p>
    <w:bookmarkEnd w:id="190"/>
    <w:p>
      <w:pPr>
        <w:spacing w:after="0"/>
        <w:ind w:left="0"/>
        <w:jc w:val="both"/>
      </w:pPr>
      <w:r>
        <w:rPr>
          <w:rFonts w:ascii="Times New Roman"/>
          <w:b w:val="false"/>
          <w:i w:val="false"/>
          <w:color w:val="ff0000"/>
          <w:sz w:val="28"/>
        </w:rPr>
        <w:t xml:space="preserve">
      Сноска. Приложение 4 -в редакции приказа Министра индустрии и инфраструктурного развития РК от 18.01.2022 </w:t>
      </w:r>
      <w:r>
        <w:rPr>
          <w:rFonts w:ascii="Times New Roman"/>
          <w:b w:val="false"/>
          <w:i w:val="false"/>
          <w:color w:val="ff0000"/>
          <w:sz w:val="28"/>
        </w:rPr>
        <w:t>№ 16</w:t>
      </w:r>
      <w:r>
        <w:rPr>
          <w:rFonts w:ascii="Times New Roman"/>
          <w:b w:val="false"/>
          <w:i w:val="false"/>
          <w:color w:val="ff0000"/>
          <w:sz w:val="28"/>
        </w:rPr>
        <w:t xml:space="preserve"> (вводятся в действие с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классификатора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административно-территориальных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номенклатурный справочник товаров, работ 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Межгосударственный классификатор единиц измерения и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 хозяйствования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