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7d7e" w14:textId="15c7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79. Зарегистрировано в Министерстве юстиции Республики Казахстан 6 июня 2018 года № 17008.</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рынке ценных бумаг", подпунктом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 для организаций, осуществляющих деятельность по управлению инвестиционным портфелем, следующие виды пруденциальных нормативов:</w:t>
      </w:r>
    </w:p>
    <w:bookmarkEnd w:id="1"/>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p>
      <w:pPr>
        <w:spacing w:after="0"/>
        <w:ind w:left="0"/>
        <w:jc w:val="both"/>
      </w:pPr>
      <w:r>
        <w:rPr>
          <w:rFonts w:ascii="Times New Roman"/>
          <w:b w:val="false"/>
          <w:i w:val="false"/>
          <w:color w:val="000000"/>
          <w:sz w:val="28"/>
        </w:rPr>
        <w:t>
      коэффициенты срочной ликвидности, значения которых ежедневно составляют:</w:t>
      </w:r>
    </w:p>
    <w:p>
      <w:pPr>
        <w:spacing w:after="0"/>
        <w:ind w:left="0"/>
        <w:jc w:val="both"/>
      </w:pPr>
      <w:r>
        <w:rPr>
          <w:rFonts w:ascii="Times New Roman"/>
          <w:b w:val="false"/>
          <w:i w:val="false"/>
          <w:color w:val="000000"/>
          <w:sz w:val="28"/>
        </w:rPr>
        <w:t>
      К2-1 – не менее 1;</w:t>
      </w:r>
    </w:p>
    <w:p>
      <w:pPr>
        <w:spacing w:after="0"/>
        <w:ind w:left="0"/>
        <w:jc w:val="both"/>
      </w:pPr>
      <w:r>
        <w:rPr>
          <w:rFonts w:ascii="Times New Roman"/>
          <w:b w:val="false"/>
          <w:i w:val="false"/>
          <w:color w:val="000000"/>
          <w:sz w:val="28"/>
        </w:rPr>
        <w:t>
      К2-2 – не менее 0,9;</w:t>
      </w:r>
    </w:p>
    <w:p>
      <w:pPr>
        <w:spacing w:after="0"/>
        <w:ind w:left="0"/>
        <w:jc w:val="both"/>
      </w:pPr>
      <w:r>
        <w:rPr>
          <w:rFonts w:ascii="Times New Roman"/>
          <w:b w:val="false"/>
          <w:i w:val="false"/>
          <w:color w:val="000000"/>
          <w:sz w:val="28"/>
        </w:rPr>
        <w:t>
      К2-3 – не менее 0,8;</w:t>
      </w:r>
    </w:p>
    <w:p>
      <w:pPr>
        <w:spacing w:after="0"/>
        <w:ind w:left="0"/>
        <w:jc w:val="both"/>
      </w:pPr>
      <w:r>
        <w:rPr>
          <w:rFonts w:ascii="Times New Roman"/>
          <w:b w:val="false"/>
          <w:i w:val="false"/>
          <w:color w:val="000000"/>
          <w:sz w:val="28"/>
        </w:rPr>
        <w:t>
      К2-4 – не менее 0,5.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2. Утвердить:</w:t>
      </w:r>
    </w:p>
    <w:bookmarkEnd w:id="2"/>
    <w:bookmarkStart w:name="z179" w:id="3"/>
    <w:p>
      <w:pPr>
        <w:spacing w:after="0"/>
        <w:ind w:left="0"/>
        <w:jc w:val="both"/>
      </w:pPr>
      <w:r>
        <w:rPr>
          <w:rFonts w:ascii="Times New Roman"/>
          <w:b w:val="false"/>
          <w:i w:val="false"/>
          <w:color w:val="000000"/>
          <w:sz w:val="28"/>
        </w:rPr>
        <w:t xml:space="preserve">
      1) Правила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180" w:id="4"/>
    <w:p>
      <w:pPr>
        <w:spacing w:after="0"/>
        <w:ind w:left="0"/>
        <w:jc w:val="both"/>
      </w:pPr>
      <w:r>
        <w:rPr>
          <w:rFonts w:ascii="Times New Roman"/>
          <w:b w:val="false"/>
          <w:i w:val="false"/>
          <w:color w:val="000000"/>
          <w:sz w:val="28"/>
        </w:rPr>
        <w:t xml:space="preserve">
      2)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
    <w:bookmarkStart w:name="z19" w:id="6"/>
    <w:p>
      <w:pPr>
        <w:spacing w:after="0"/>
        <w:ind w:left="0"/>
        <w:jc w:val="both"/>
      </w:pPr>
      <w:r>
        <w:rPr>
          <w:rFonts w:ascii="Times New Roman"/>
          <w:b w:val="false"/>
          <w:i w:val="false"/>
          <w:color w:val="000000"/>
          <w:sz w:val="28"/>
        </w:rPr>
        <w:t>
      4. Департаменту регулирования небанковских финансовых организаций (Шайкакова Г.Ж.) в установленном законодательством Республики Казахстан порядке обеспечить:</w:t>
      </w:r>
    </w:p>
    <w:bookmarkEnd w:id="6"/>
    <w:bookmarkStart w:name="z20" w:id="7"/>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7"/>
    <w:bookmarkStart w:name="z2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22" w:id="9"/>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End w:id="9"/>
    <w:bookmarkStart w:name="z23"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5 настоящего постановления.</w:t>
      </w:r>
    </w:p>
    <w:bookmarkEnd w:id="10"/>
    <w:bookmarkStart w:name="z24" w:id="11"/>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1"/>
    <w:bookmarkStart w:name="z25" w:id="12"/>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2"/>
    <w:bookmarkStart w:name="z26" w:id="13"/>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8"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_______________Н. Айдапкелов</w:t>
      </w:r>
    </w:p>
    <w:p>
      <w:pPr>
        <w:spacing w:after="0"/>
        <w:ind w:left="0"/>
        <w:jc w:val="both"/>
      </w:pPr>
      <w:r>
        <w:rPr>
          <w:rFonts w:ascii="Times New Roman"/>
          <w:b w:val="false"/>
          <w:i w:val="false"/>
          <w:color w:val="000000"/>
          <w:sz w:val="28"/>
        </w:rPr>
        <w:t>22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30" w:id="15"/>
    <w:p>
      <w:pPr>
        <w:spacing w:after="0"/>
        <w:ind w:left="0"/>
        <w:jc w:val="left"/>
      </w:pPr>
      <w:r>
        <w:rPr>
          <w:rFonts w:ascii="Times New Roman"/>
          <w:b/>
          <w:i w:val="false"/>
          <w:color w:val="000000"/>
        </w:rPr>
        <w:t xml:space="preserve"> Правила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деятельность по управлению инвестиционным портфелем</w:t>
      </w:r>
    </w:p>
    <w:bookmarkEnd w:id="15"/>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81" w:id="16"/>
    <w:p>
      <w:pPr>
        <w:spacing w:after="0"/>
        <w:ind w:left="0"/>
        <w:jc w:val="left"/>
      </w:pPr>
      <w:r>
        <w:rPr>
          <w:rFonts w:ascii="Times New Roman"/>
          <w:b/>
          <w:i w:val="false"/>
          <w:color w:val="000000"/>
        </w:rPr>
        <w:t xml:space="preserve"> Глава 1. Общие положения</w:t>
      </w:r>
    </w:p>
    <w:bookmarkEnd w:id="16"/>
    <w:bookmarkStart w:name="z182" w:id="17"/>
    <w:p>
      <w:pPr>
        <w:spacing w:after="0"/>
        <w:ind w:left="0"/>
        <w:jc w:val="both"/>
      </w:pPr>
      <w:r>
        <w:rPr>
          <w:rFonts w:ascii="Times New Roman"/>
          <w:b w:val="false"/>
          <w:i w:val="false"/>
          <w:color w:val="000000"/>
          <w:sz w:val="28"/>
        </w:rPr>
        <w:t>
      1. Настоящие Правила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Правила), разработаны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17"/>
    <w:bookmarkStart w:name="z183" w:id="18"/>
    <w:p>
      <w:pPr>
        <w:spacing w:after="0"/>
        <w:ind w:left="0"/>
        <w:jc w:val="left"/>
      </w:pPr>
      <w:r>
        <w:rPr>
          <w:rFonts w:ascii="Times New Roman"/>
          <w:b/>
          <w:i w:val="false"/>
          <w:color w:val="000000"/>
        </w:rPr>
        <w:t xml:space="preserve"> Глава 2. Порядок расчета значений пруденциальных нормативов, обязательных</w:t>
      </w:r>
      <w:r>
        <w:br/>
      </w:r>
      <w:r>
        <w:rPr>
          <w:rFonts w:ascii="Times New Roman"/>
          <w:b/>
          <w:i w:val="false"/>
          <w:color w:val="000000"/>
        </w:rPr>
        <w:t>к соблюдению управляющим инвестиционным портфелем</w:t>
      </w:r>
    </w:p>
    <w:bookmarkEnd w:id="18"/>
    <w:bookmarkStart w:name="z184" w:id="19"/>
    <w:p>
      <w:pPr>
        <w:spacing w:after="0"/>
        <w:ind w:left="0"/>
        <w:jc w:val="both"/>
      </w:pPr>
      <w:r>
        <w:rPr>
          <w:rFonts w:ascii="Times New Roman"/>
          <w:b w:val="false"/>
          <w:i w:val="false"/>
          <w:color w:val="000000"/>
          <w:sz w:val="28"/>
        </w:rPr>
        <w:t xml:space="preserve">
      2. Управляющий инвестиционным портфелем производит расчет значений пруденциальных нормативов по Таблице расчета значений пруденциальных нормативов управляющего инвестиционным портфелем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19"/>
    <w:bookmarkStart w:name="z185" w:id="20"/>
    <w:p>
      <w:pPr>
        <w:spacing w:after="0"/>
        <w:ind w:left="0"/>
        <w:jc w:val="both"/>
      </w:pPr>
      <w:r>
        <w:rPr>
          <w:rFonts w:ascii="Times New Roman"/>
          <w:b w:val="false"/>
          <w:i w:val="false"/>
          <w:color w:val="000000"/>
          <w:sz w:val="28"/>
        </w:rPr>
        <w:t>
      3. Для целей Правил под международными финансовыми организациями понимаются следующие организации:</w:t>
      </w:r>
    </w:p>
    <w:bookmarkEnd w:id="20"/>
    <w:bookmarkStart w:name="z186" w:id="21"/>
    <w:p>
      <w:pPr>
        <w:spacing w:after="0"/>
        <w:ind w:left="0"/>
        <w:jc w:val="both"/>
      </w:pPr>
      <w:r>
        <w:rPr>
          <w:rFonts w:ascii="Times New Roman"/>
          <w:b w:val="false"/>
          <w:i w:val="false"/>
          <w:color w:val="000000"/>
          <w:sz w:val="28"/>
        </w:rPr>
        <w:t>
      Азиатский банк развития (the Asian Development Bank);</w:t>
      </w:r>
    </w:p>
    <w:bookmarkEnd w:id="21"/>
    <w:bookmarkStart w:name="z187" w:id="22"/>
    <w:p>
      <w:pPr>
        <w:spacing w:after="0"/>
        <w:ind w:left="0"/>
        <w:jc w:val="both"/>
      </w:pPr>
      <w:r>
        <w:rPr>
          <w:rFonts w:ascii="Times New Roman"/>
          <w:b w:val="false"/>
          <w:i w:val="false"/>
          <w:color w:val="000000"/>
          <w:sz w:val="28"/>
        </w:rPr>
        <w:t>
      Межамериканский банк развития (the Inter-American Development Bank);</w:t>
      </w:r>
    </w:p>
    <w:bookmarkEnd w:id="22"/>
    <w:bookmarkStart w:name="z188" w:id="23"/>
    <w:p>
      <w:pPr>
        <w:spacing w:after="0"/>
        <w:ind w:left="0"/>
        <w:jc w:val="both"/>
      </w:pPr>
      <w:r>
        <w:rPr>
          <w:rFonts w:ascii="Times New Roman"/>
          <w:b w:val="false"/>
          <w:i w:val="false"/>
          <w:color w:val="000000"/>
          <w:sz w:val="28"/>
        </w:rPr>
        <w:t>
      Африканский банк развития (the African Development Bank);</w:t>
      </w:r>
    </w:p>
    <w:bookmarkEnd w:id="23"/>
    <w:bookmarkStart w:name="z189" w:id="24"/>
    <w:p>
      <w:pPr>
        <w:spacing w:after="0"/>
        <w:ind w:left="0"/>
        <w:jc w:val="both"/>
      </w:pPr>
      <w:r>
        <w:rPr>
          <w:rFonts w:ascii="Times New Roman"/>
          <w:b w:val="false"/>
          <w:i w:val="false"/>
          <w:color w:val="000000"/>
          <w:sz w:val="28"/>
        </w:rPr>
        <w:t>
      Евразийский банк развития (Eurasian Development Bank);</w:t>
      </w:r>
    </w:p>
    <w:bookmarkEnd w:id="24"/>
    <w:bookmarkStart w:name="z190" w:id="25"/>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25"/>
    <w:bookmarkStart w:name="z191" w:id="26"/>
    <w:p>
      <w:pPr>
        <w:spacing w:after="0"/>
        <w:ind w:left="0"/>
        <w:jc w:val="both"/>
      </w:pPr>
      <w:r>
        <w:rPr>
          <w:rFonts w:ascii="Times New Roman"/>
          <w:b w:val="false"/>
          <w:i w:val="false"/>
          <w:color w:val="000000"/>
          <w:sz w:val="28"/>
        </w:rPr>
        <w:t>
      Европейский инвестиционный банк (the European Investment Bank);</w:t>
      </w:r>
    </w:p>
    <w:bookmarkEnd w:id="26"/>
    <w:bookmarkStart w:name="z192" w:id="27"/>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27"/>
    <w:bookmarkStart w:name="z193" w:id="28"/>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28"/>
    <w:bookmarkStart w:name="z194" w:id="29"/>
    <w:p>
      <w:pPr>
        <w:spacing w:after="0"/>
        <w:ind w:left="0"/>
        <w:jc w:val="both"/>
      </w:pPr>
      <w:r>
        <w:rPr>
          <w:rFonts w:ascii="Times New Roman"/>
          <w:b w:val="false"/>
          <w:i w:val="false"/>
          <w:color w:val="000000"/>
          <w:sz w:val="28"/>
        </w:rPr>
        <w:t>
      Исламский банк развития (the Islamic Development Bank);</w:t>
      </w:r>
    </w:p>
    <w:bookmarkEnd w:id="29"/>
    <w:bookmarkStart w:name="z195" w:id="30"/>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30"/>
    <w:bookmarkStart w:name="z196" w:id="31"/>
    <w:p>
      <w:pPr>
        <w:spacing w:after="0"/>
        <w:ind w:left="0"/>
        <w:jc w:val="both"/>
      </w:pPr>
      <w:r>
        <w:rPr>
          <w:rFonts w:ascii="Times New Roman"/>
          <w:b w:val="false"/>
          <w:i w:val="false"/>
          <w:color w:val="000000"/>
          <w:sz w:val="28"/>
        </w:rPr>
        <w:t>
      Скандинавский инвестиционный банк (the Nordic Investment Bank);</w:t>
      </w:r>
    </w:p>
    <w:bookmarkEnd w:id="31"/>
    <w:bookmarkStart w:name="z197" w:id="32"/>
    <w:p>
      <w:pPr>
        <w:spacing w:after="0"/>
        <w:ind w:left="0"/>
        <w:jc w:val="both"/>
      </w:pPr>
      <w:r>
        <w:rPr>
          <w:rFonts w:ascii="Times New Roman"/>
          <w:b w:val="false"/>
          <w:i w:val="false"/>
          <w:color w:val="000000"/>
          <w:sz w:val="28"/>
        </w:rPr>
        <w:t>
      Международный валютный фонд (the International Monetary Fund);</w:t>
      </w:r>
    </w:p>
    <w:bookmarkEnd w:id="32"/>
    <w:bookmarkStart w:name="z198" w:id="33"/>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33"/>
    <w:bookmarkStart w:name="z199" w:id="34"/>
    <w:p>
      <w:pPr>
        <w:spacing w:after="0"/>
        <w:ind w:left="0"/>
        <w:jc w:val="both"/>
      </w:pPr>
      <w:r>
        <w:rPr>
          <w:rFonts w:ascii="Times New Roman"/>
          <w:b w:val="false"/>
          <w:i w:val="false"/>
          <w:color w:val="000000"/>
          <w:sz w:val="28"/>
        </w:rPr>
        <w:t>
      Банк международных расчетов (the Bank for International Settlements);</w:t>
      </w:r>
    </w:p>
    <w:bookmarkEnd w:id="34"/>
    <w:bookmarkStart w:name="z200" w:id="35"/>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35"/>
    <w:bookmarkStart w:name="z201" w:id="36"/>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36"/>
    <w:bookmarkStart w:name="z202" w:id="37"/>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37"/>
    <w:bookmarkStart w:name="z203" w:id="38"/>
    <w:p>
      <w:pPr>
        <w:spacing w:after="0"/>
        <w:ind w:left="0"/>
        <w:jc w:val="both"/>
      </w:pPr>
      <w:r>
        <w:rPr>
          <w:rFonts w:ascii="Times New Roman"/>
          <w:b w:val="false"/>
          <w:i w:val="false"/>
          <w:color w:val="000000"/>
          <w:sz w:val="28"/>
        </w:rPr>
        <w:t xml:space="preserve">
      4.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4-2 Правил при соблюдении условия, установленного пунктом 4-1 Правил (далее - другие рейтинговые агентства).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4" w:id="39"/>
    <w:p>
      <w:pPr>
        <w:spacing w:after="0"/>
        <w:ind w:left="0"/>
        <w:jc w:val="both"/>
      </w:pPr>
      <w:r>
        <w:rPr>
          <w:rFonts w:ascii="Times New Roman"/>
          <w:b w:val="false"/>
          <w:i w:val="false"/>
          <w:color w:val="000000"/>
          <w:sz w:val="28"/>
        </w:rPr>
        <w:t>
      4-1. При расчете значений пруденциальных нормативов долгосрочные кредитные рейтинги, присвоенные рейтинговыми агентствами, соответствующими критериям, установленным пунктом 4-2 Правил, по международной рейтинговой шкале используются только в отношении иностранных объектов рейтинга.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5" w:id="40"/>
    <w:p>
      <w:pPr>
        <w:spacing w:after="0"/>
        <w:ind w:left="0"/>
        <w:jc w:val="both"/>
      </w:pPr>
      <w:r>
        <w:rPr>
          <w:rFonts w:ascii="Times New Roman"/>
          <w:b w:val="false"/>
          <w:i w:val="false"/>
          <w:color w:val="000000"/>
          <w:sz w:val="28"/>
        </w:rPr>
        <w:t>
      4-2. Для целей Правил уполномоченным органом признаются рейтинговые оценки рейтинговых агентств, соответствующих следующим критериям:</w:t>
      </w:r>
    </w:p>
    <w:bookmarkEnd w:id="40"/>
    <w:bookmarkStart w:name="z359" w:id="41"/>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41"/>
    <w:bookmarkStart w:name="z360" w:id="42"/>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42"/>
    <w:bookmarkStart w:name="z361" w:id="43"/>
    <w:p>
      <w:pPr>
        <w:spacing w:after="0"/>
        <w:ind w:left="0"/>
        <w:jc w:val="both"/>
      </w:pPr>
      <w:r>
        <w:rPr>
          <w:rFonts w:ascii="Times New Roman"/>
          <w:b w:val="false"/>
          <w:i w:val="false"/>
          <w:color w:val="000000"/>
          <w:sz w:val="28"/>
        </w:rPr>
        <w:t>
      3) объективность, независимость и ответственность:</w:t>
      </w:r>
    </w:p>
    <w:bookmarkEnd w:id="43"/>
    <w:bookmarkStart w:name="z362" w:id="44"/>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44"/>
    <w:bookmarkStart w:name="z363" w:id="45"/>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45"/>
    <w:bookmarkStart w:name="z364" w:id="46"/>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46"/>
    <w:bookmarkStart w:name="z365" w:id="47"/>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47"/>
    <w:bookmarkStart w:name="z366" w:id="48"/>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48"/>
    <w:bookmarkStart w:name="z367" w:id="49"/>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49"/>
    <w:bookmarkStart w:name="z368" w:id="50"/>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50"/>
    <w:bookmarkStart w:name="z369" w:id="51"/>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51"/>
    <w:bookmarkStart w:name="z370" w:id="52"/>
    <w:p>
      <w:pPr>
        <w:spacing w:after="0"/>
        <w:ind w:left="0"/>
        <w:jc w:val="both"/>
      </w:pPr>
      <w:r>
        <w:rPr>
          <w:rFonts w:ascii="Times New Roman"/>
          <w:b w:val="false"/>
          <w:i w:val="false"/>
          <w:color w:val="000000"/>
          <w:sz w:val="28"/>
        </w:rPr>
        <w:t>
      4) прозрачность и раскрытие информации:</w:t>
      </w:r>
    </w:p>
    <w:bookmarkEnd w:id="52"/>
    <w:bookmarkStart w:name="z371" w:id="53"/>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53"/>
    <w:bookmarkStart w:name="z372" w:id="54"/>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54"/>
    <w:bookmarkStart w:name="z373" w:id="55"/>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55"/>
    <w:bookmarkStart w:name="z374" w:id="56"/>
    <w:p>
      <w:pPr>
        <w:spacing w:after="0"/>
        <w:ind w:left="0"/>
        <w:jc w:val="both"/>
      </w:pPr>
      <w:r>
        <w:rPr>
          <w:rFonts w:ascii="Times New Roman"/>
          <w:b w:val="false"/>
          <w:i w:val="false"/>
          <w:color w:val="000000"/>
          <w:sz w:val="28"/>
        </w:rPr>
        <w:t>
      5) надежность рейтингов:</w:t>
      </w:r>
    </w:p>
    <w:bookmarkEnd w:id="56"/>
    <w:bookmarkStart w:name="z375" w:id="57"/>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57"/>
    <w:bookmarkStart w:name="z376" w:id="58"/>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58"/>
    <w:bookmarkStart w:name="z377" w:id="59"/>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59"/>
    <w:bookmarkStart w:name="z378" w:id="60"/>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60"/>
    <w:bookmarkStart w:name="z379" w:id="61"/>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61"/>
    <w:bookmarkStart w:name="z380" w:id="62"/>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62"/>
    <w:bookmarkStart w:name="z381" w:id="63"/>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документов, подтверждающих соответствие рейтингового агентства критериям, установленным подпунктами 1), 2), 3), 4) и 5) настоящего пункта.</w:t>
      </w:r>
    </w:p>
    <w:bookmarkEnd w:id="63"/>
    <w:bookmarkStart w:name="z382" w:id="64"/>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подпунктами 1), 2), 3), 4) и 5)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64"/>
    <w:bookmarkStart w:name="z383" w:id="65"/>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65"/>
    <w:bookmarkStart w:name="z384" w:id="66"/>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19.07.2024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67"/>
    <w:p>
      <w:pPr>
        <w:spacing w:after="0"/>
        <w:ind w:left="0"/>
        <w:jc w:val="both"/>
      </w:pPr>
      <w:r>
        <w:rPr>
          <w:rFonts w:ascii="Times New Roman"/>
          <w:b w:val="false"/>
          <w:i w:val="false"/>
          <w:color w:val="000000"/>
          <w:sz w:val="28"/>
        </w:rPr>
        <w:t>
      5. Для целей Правил под основными фондовыми индексами понимаются следующие расчетные показатели (индексы):</w:t>
      </w:r>
    </w:p>
    <w:bookmarkEnd w:id="67"/>
    <w:bookmarkStart w:name="z205" w:id="68"/>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bookmarkEnd w:id="68"/>
    <w:bookmarkStart w:name="z206" w:id="69"/>
    <w:p>
      <w:pPr>
        <w:spacing w:after="0"/>
        <w:ind w:left="0"/>
        <w:jc w:val="both"/>
      </w:pPr>
      <w:r>
        <w:rPr>
          <w:rFonts w:ascii="Times New Roman"/>
          <w:b w:val="false"/>
          <w:i w:val="false"/>
          <w:color w:val="000000"/>
          <w:sz w:val="28"/>
        </w:rPr>
        <w:t>
      DAX (Deutscher Aktienindex) (Дойтче Акциениндекс);</w:t>
      </w:r>
    </w:p>
    <w:bookmarkEnd w:id="69"/>
    <w:bookmarkStart w:name="z207" w:id="70"/>
    <w:p>
      <w:pPr>
        <w:spacing w:after="0"/>
        <w:ind w:left="0"/>
        <w:jc w:val="both"/>
      </w:pPr>
      <w:r>
        <w:rPr>
          <w:rFonts w:ascii="Times New Roman"/>
          <w:b w:val="false"/>
          <w:i w:val="false"/>
          <w:color w:val="000000"/>
          <w:sz w:val="28"/>
        </w:rPr>
        <w:t>
      DJIA (Dow Jones Industrial Average) (Доу Джонс Индастриал Эвередж);</w:t>
      </w:r>
    </w:p>
    <w:bookmarkEnd w:id="70"/>
    <w:bookmarkStart w:name="z208" w:id="71"/>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71"/>
    <w:bookmarkStart w:name="z209" w:id="72"/>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72"/>
    <w:bookmarkStart w:name="z210" w:id="73"/>
    <w:p>
      <w:pPr>
        <w:spacing w:after="0"/>
        <w:ind w:left="0"/>
        <w:jc w:val="both"/>
      </w:pPr>
      <w:r>
        <w:rPr>
          <w:rFonts w:ascii="Times New Roman"/>
          <w:b w:val="false"/>
          <w:i w:val="false"/>
          <w:color w:val="000000"/>
          <w:sz w:val="28"/>
        </w:rPr>
        <w:t>
      HSI (Hang Seng Index) (Ханг Сенг Индекс);</w:t>
      </w:r>
    </w:p>
    <w:bookmarkEnd w:id="73"/>
    <w:bookmarkStart w:name="z211" w:id="74"/>
    <w:p>
      <w:pPr>
        <w:spacing w:after="0"/>
        <w:ind w:left="0"/>
        <w:jc w:val="both"/>
      </w:pPr>
      <w:r>
        <w:rPr>
          <w:rFonts w:ascii="Times New Roman"/>
          <w:b w:val="false"/>
          <w:i w:val="false"/>
          <w:color w:val="000000"/>
          <w:sz w:val="28"/>
        </w:rPr>
        <w:t>
      KASE (Kazakhstan Stock Exchange Index) (Казакстан Сток Эксчейндж Индекс);</w:t>
      </w:r>
    </w:p>
    <w:bookmarkEnd w:id="74"/>
    <w:bookmarkStart w:name="z212" w:id="75"/>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75"/>
    <w:bookmarkStart w:name="z213" w:id="76"/>
    <w:p>
      <w:pPr>
        <w:spacing w:after="0"/>
        <w:ind w:left="0"/>
        <w:jc w:val="both"/>
      </w:pPr>
      <w:r>
        <w:rPr>
          <w:rFonts w:ascii="Times New Roman"/>
          <w:b w:val="false"/>
          <w:i w:val="false"/>
          <w:color w:val="000000"/>
          <w:sz w:val="28"/>
        </w:rPr>
        <w:t>
      MOEX Russia (Moscow Exchange Russia Index) (Москоу Эксчейндж Раша Индекс);</w:t>
      </w:r>
    </w:p>
    <w:bookmarkEnd w:id="76"/>
    <w:bookmarkStart w:name="z214" w:id="77"/>
    <w:p>
      <w:pPr>
        <w:spacing w:after="0"/>
        <w:ind w:left="0"/>
        <w:jc w:val="both"/>
      </w:pPr>
      <w:r>
        <w:rPr>
          <w:rFonts w:ascii="Times New Roman"/>
          <w:b w:val="false"/>
          <w:i w:val="false"/>
          <w:color w:val="000000"/>
          <w:sz w:val="28"/>
        </w:rPr>
        <w:t xml:space="preserve">
      NIKKEI 225 (Nikkei-225 Stock Average Index) (Никкэй-225 Сток Эвередж Индекс); </w:t>
      </w:r>
    </w:p>
    <w:bookmarkEnd w:id="77"/>
    <w:bookmarkStart w:name="z215" w:id="78"/>
    <w:p>
      <w:pPr>
        <w:spacing w:after="0"/>
        <w:ind w:left="0"/>
        <w:jc w:val="both"/>
      </w:pPr>
      <w:r>
        <w:rPr>
          <w:rFonts w:ascii="Times New Roman"/>
          <w:b w:val="false"/>
          <w:i w:val="false"/>
          <w:color w:val="000000"/>
          <w:sz w:val="28"/>
        </w:rPr>
        <w:t xml:space="preserve">
      RTSI (Russian Trade System Index) (Рашен Трейд Систем Индекс); </w:t>
      </w:r>
    </w:p>
    <w:bookmarkEnd w:id="78"/>
    <w:bookmarkStart w:name="z216" w:id="79"/>
    <w:p>
      <w:pPr>
        <w:spacing w:after="0"/>
        <w:ind w:left="0"/>
        <w:jc w:val="both"/>
      </w:pPr>
      <w:r>
        <w:rPr>
          <w:rFonts w:ascii="Times New Roman"/>
          <w:b w:val="false"/>
          <w:i w:val="false"/>
          <w:color w:val="000000"/>
          <w:sz w:val="28"/>
        </w:rPr>
        <w:t>
      S&amp;P 500 (Standard and Poor's 500 Index) (Стандард энд Пурс 500 Индекс);</w:t>
      </w:r>
    </w:p>
    <w:bookmarkEnd w:id="79"/>
    <w:bookmarkStart w:name="z217" w:id="80"/>
    <w:p>
      <w:pPr>
        <w:spacing w:after="0"/>
        <w:ind w:left="0"/>
        <w:jc w:val="both"/>
      </w:pPr>
      <w:r>
        <w:rPr>
          <w:rFonts w:ascii="Times New Roman"/>
          <w:b w:val="false"/>
          <w:i w:val="false"/>
          <w:color w:val="000000"/>
          <w:sz w:val="28"/>
        </w:rPr>
        <w:t>
      TOPIX 100 (Tokyo Stock Price 100 Index) (Токио Сток Прайс 100 Индекс);</w:t>
      </w:r>
    </w:p>
    <w:bookmarkEnd w:id="80"/>
    <w:bookmarkStart w:name="z218" w:id="81"/>
    <w:p>
      <w:pPr>
        <w:spacing w:after="0"/>
        <w:ind w:left="0"/>
        <w:jc w:val="both"/>
      </w:pPr>
      <w:r>
        <w:rPr>
          <w:rFonts w:ascii="Times New Roman"/>
          <w:b w:val="false"/>
          <w:i w:val="false"/>
          <w:color w:val="000000"/>
          <w:sz w:val="28"/>
        </w:rPr>
        <w:t>
      NASDAQ-100 (Nasdaq-100 Index) (Насдак-100 Индекс).</w:t>
      </w:r>
    </w:p>
    <w:bookmarkEnd w:id="81"/>
    <w:bookmarkStart w:name="z219" w:id="82"/>
    <w:p>
      <w:pPr>
        <w:spacing w:after="0"/>
        <w:ind w:left="0"/>
        <w:jc w:val="both"/>
      </w:pPr>
      <w:r>
        <w:rPr>
          <w:rFonts w:ascii="Times New Roman"/>
          <w:b w:val="false"/>
          <w:i w:val="false"/>
          <w:color w:val="000000"/>
          <w:sz w:val="28"/>
        </w:rPr>
        <w:t>
      6. Правила не распространяются на управляющих инвестиционным портфелем с правом привлечения добровольных пенсионных взносов и страховые организации, осуществляющие деятельность в отрасли "страхование жизни", имеющие лицензию на осуществление деятельности по управлению инвестиционным портфелем на рынке ценных бумаг.</w:t>
      </w:r>
    </w:p>
    <w:bookmarkEnd w:id="82"/>
    <w:bookmarkStart w:name="z220" w:id="83"/>
    <w:p>
      <w:pPr>
        <w:spacing w:after="0"/>
        <w:ind w:left="0"/>
        <w:jc w:val="both"/>
      </w:pPr>
      <w:r>
        <w:rPr>
          <w:rFonts w:ascii="Times New Roman"/>
          <w:b w:val="false"/>
          <w:i w:val="false"/>
          <w:color w:val="000000"/>
          <w:sz w:val="28"/>
        </w:rPr>
        <w:t>
      7. Золотовалютные активы Национального Банка Республики Казахстан и активы Национального фонда Республики Казахстан, переданные в доверительное управление, не учитываются при расчете значений пруденциальных нормативов, обязательных к соблюдению управляющим инвестиционным портфелем.</w:t>
      </w:r>
    </w:p>
    <w:bookmarkEnd w:id="83"/>
    <w:bookmarkStart w:name="z221" w:id="84"/>
    <w:p>
      <w:pPr>
        <w:spacing w:after="0"/>
        <w:ind w:left="0"/>
        <w:jc w:val="both"/>
      </w:pPr>
      <w:r>
        <w:rPr>
          <w:rFonts w:ascii="Times New Roman"/>
          <w:b w:val="false"/>
          <w:i w:val="false"/>
          <w:color w:val="000000"/>
          <w:sz w:val="28"/>
        </w:rPr>
        <w:t>
      8. Нормы, предусмотренные Правилами в части аффилированных лиц управляющего инвестиционным портфелем, не применяются к юридическим лицам и их аффилированным лицам, являющимся аффилированными с управляющим инвестиционным портфелем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84"/>
    <w:bookmarkStart w:name="z222" w:id="85"/>
    <w:p>
      <w:pPr>
        <w:spacing w:after="0"/>
        <w:ind w:left="0"/>
        <w:jc w:val="both"/>
      </w:pPr>
      <w:r>
        <w:rPr>
          <w:rFonts w:ascii="Times New Roman"/>
          <w:b w:val="false"/>
          <w:i w:val="false"/>
          <w:color w:val="000000"/>
          <w:sz w:val="28"/>
        </w:rPr>
        <w:t>
      9. В случае совмещения управляющим инвестиционным портфелем профессиональной деятельности на рынке ценных бумаг, расчет значений пруденциальных нормативов осуществляется с учетом порядка расчета значений пруденциальных нормативов для организаций, осуществляющих брокерскую и (или) дилерскую деятельность на рынке ценных бумаг, утвержденного нормативным правовым актом уполномоченного органа в соответствии с пунктом 3 статьи 49 Закона о рынке ценных бумаг.</w:t>
      </w:r>
    </w:p>
    <w:bookmarkEnd w:id="85"/>
    <w:bookmarkStart w:name="z223" w:id="86"/>
    <w:p>
      <w:pPr>
        <w:spacing w:after="0"/>
        <w:ind w:left="0"/>
        <w:jc w:val="both"/>
      </w:pPr>
      <w:r>
        <w:rPr>
          <w:rFonts w:ascii="Times New Roman"/>
          <w:b w:val="false"/>
          <w:i w:val="false"/>
          <w:color w:val="000000"/>
          <w:sz w:val="28"/>
        </w:rPr>
        <w:t>
      10. В случае нарушения коэффициента достаточности собственного капитала и (или) коэффициента ликвидности управляющий инвестиционным портфелем в течение 3 (трех) рабочих дней с даты нарушения сообщает уполномоченному органу о фактах и причинах нарушения соответствующего пруденциального норматива с приложением плана мероприятий по его устранению.</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деятельность по управлению</w:t>
            </w:r>
            <w:r>
              <w:br/>
            </w:r>
            <w:r>
              <w:rPr>
                <w:rFonts w:ascii="Times New Roman"/>
                <w:b w:val="false"/>
                <w:i w:val="false"/>
                <w:color w:val="000000"/>
                <w:sz w:val="20"/>
              </w:rPr>
              <w:t>инвестиционным портфелем</w:t>
            </w:r>
          </w:p>
        </w:tc>
      </w:tr>
    </w:tbl>
    <w:bookmarkStart w:name="z321" w:id="87"/>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87"/>
    <w:p>
      <w:pPr>
        <w:spacing w:after="0"/>
        <w:ind w:left="0"/>
        <w:jc w:val="both"/>
      </w:pPr>
      <w:r>
        <w:rPr>
          <w:rFonts w:ascii="Times New Roman"/>
          <w:b w:val="false"/>
          <w:i w:val="false"/>
          <w:color w:val="ff0000"/>
          <w:sz w:val="28"/>
        </w:rPr>
        <w:t xml:space="preserve">
      Сноска. Приложение - в редакции постановления Правления Агентства РК по регулированию и развитию финансового рынка от 16.05.2025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227" w:id="88"/>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88"/>
    <w:p>
      <w:pPr>
        <w:spacing w:after="0"/>
        <w:ind w:left="0"/>
        <w:jc w:val="both"/>
      </w:pPr>
      <w:r>
        <w:rPr>
          <w:rFonts w:ascii="Times New Roman"/>
          <w:b w:val="false"/>
          <w:i w:val="false"/>
          <w:color w:val="ff0000"/>
          <w:sz w:val="28"/>
        </w:rPr>
        <w:t xml:space="preserve">
      Сноска. Методика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 w:id="89"/>
    <w:p>
      <w:pPr>
        <w:spacing w:after="0"/>
        <w:ind w:left="0"/>
        <w:jc w:val="left"/>
      </w:pPr>
      <w:r>
        <w:rPr>
          <w:rFonts w:ascii="Times New Roman"/>
          <w:b/>
          <w:i w:val="false"/>
          <w:color w:val="000000"/>
        </w:rPr>
        <w:t xml:space="preserve"> Глава 1. Общие положения</w:t>
      </w:r>
    </w:p>
    <w:bookmarkEnd w:id="89"/>
    <w:bookmarkStart w:name="z324" w:id="90"/>
    <w:p>
      <w:pPr>
        <w:spacing w:after="0"/>
        <w:ind w:left="0"/>
        <w:jc w:val="both"/>
      </w:pPr>
      <w:r>
        <w:rPr>
          <w:rFonts w:ascii="Times New Roman"/>
          <w:b w:val="false"/>
          <w:i w:val="false"/>
          <w:color w:val="000000"/>
          <w:sz w:val="28"/>
        </w:rPr>
        <w:t xml:space="preserve">
      1. Настоящая Методика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Методика), разработана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90"/>
    <w:bookmarkStart w:name="z325" w:id="91"/>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91"/>
    <w:bookmarkStart w:name="z326" w:id="92"/>
    <w:p>
      <w:pPr>
        <w:spacing w:after="0"/>
        <w:ind w:left="0"/>
        <w:jc w:val="both"/>
      </w:pPr>
      <w:r>
        <w:rPr>
          <w:rFonts w:ascii="Times New Roman"/>
          <w:b w:val="false"/>
          <w:i w:val="false"/>
          <w:color w:val="000000"/>
          <w:sz w:val="28"/>
        </w:rPr>
        <w:t>
      2.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92"/>
    <w:bookmarkStart w:name="z327" w:id="93"/>
    <w:p>
      <w:pPr>
        <w:spacing w:after="0"/>
        <w:ind w:left="0"/>
        <w:jc w:val="both"/>
      </w:pPr>
      <w:r>
        <w:rPr>
          <w:rFonts w:ascii="Times New Roman"/>
          <w:b w:val="false"/>
          <w:i w:val="false"/>
          <w:color w:val="000000"/>
          <w:sz w:val="28"/>
        </w:rPr>
        <w:t>
      3. Управляющий инвестиционным портфелем, осуществляющий в соответствии с договором, заключенным с единым накопительным пенсионным фондом, доверительное управление пенсионными активами, рассчитывает коэффициент достаточности собственного капитала по формуле:</w:t>
      </w:r>
    </w:p>
    <w:bookmarkEnd w:id="93"/>
    <w:bookmarkStart w:name="z328" w:id="94"/>
    <w:p>
      <w:pPr>
        <w:spacing w:after="0"/>
        <w:ind w:left="0"/>
        <w:jc w:val="both"/>
      </w:pPr>
      <w:r>
        <w:rPr>
          <w:rFonts w:ascii="Times New Roman"/>
          <w:b w:val="false"/>
          <w:i w:val="false"/>
          <w:color w:val="000000"/>
          <w:sz w:val="28"/>
        </w:rPr>
        <w:t>
      К = (ВЛА+ЛА - О) / (МРСК+Ор_УИП_ПА), где:</w:t>
      </w:r>
    </w:p>
    <w:bookmarkEnd w:id="94"/>
    <w:bookmarkStart w:name="z329" w:id="95"/>
    <w:p>
      <w:pPr>
        <w:spacing w:after="0"/>
        <w:ind w:left="0"/>
        <w:jc w:val="both"/>
      </w:pPr>
      <w:r>
        <w:rPr>
          <w:rFonts w:ascii="Times New Roman"/>
          <w:b w:val="false"/>
          <w:i w:val="false"/>
          <w:color w:val="000000"/>
          <w:sz w:val="28"/>
        </w:rPr>
        <w:t>
      ВЛА - высоколиквидные активы управляющего инвестиционным портфелем, имеющиеся на дату расчета, которые признаются высоколиквидными в соответствии с пунктом 6 Методики;</w:t>
      </w:r>
    </w:p>
    <w:bookmarkEnd w:id="95"/>
    <w:bookmarkStart w:name="z330" w:id="96"/>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6 Методики;</w:t>
      </w:r>
    </w:p>
    <w:bookmarkEnd w:id="96"/>
    <w:bookmarkStart w:name="z331" w:id="97"/>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97"/>
    <w:bookmarkStart w:name="z332" w:id="98"/>
    <w:p>
      <w:pPr>
        <w:spacing w:after="0"/>
        <w:ind w:left="0"/>
        <w:jc w:val="both"/>
      </w:pPr>
      <w:r>
        <w:rPr>
          <w:rFonts w:ascii="Times New Roman"/>
          <w:b w:val="false"/>
          <w:i w:val="false"/>
          <w:color w:val="000000"/>
          <w:sz w:val="28"/>
        </w:rPr>
        <w:t>
       МРСК - минимальный размер собственного капитала управляющего инвестиционным портфелем, принимаемый в расчет достаточности собственного капитала, составляющий 440 000 (четыреста сорок тысяч) МРП;</w:t>
      </w:r>
    </w:p>
    <w:bookmarkEnd w:id="98"/>
    <w:bookmarkStart w:name="z333" w:id="99"/>
    <w:p>
      <w:pPr>
        <w:spacing w:after="0"/>
        <w:ind w:left="0"/>
        <w:jc w:val="both"/>
      </w:pPr>
      <w:r>
        <w:rPr>
          <w:rFonts w:ascii="Times New Roman"/>
          <w:b w:val="false"/>
          <w:i w:val="false"/>
          <w:color w:val="000000"/>
          <w:sz w:val="28"/>
        </w:rPr>
        <w:t>
      Ор_УИП_ПА - операционный риск, связанный с доверительным управлением пенсионных активов, рассчитанный как размер активов в инвестиционном управлении на дату расчета, умноженный на коэффициент операционного риска УИП ПА – 4%.</w:t>
      </w:r>
    </w:p>
    <w:bookmarkEnd w:id="99"/>
    <w:bookmarkStart w:name="z334" w:id="100"/>
    <w:p>
      <w:pPr>
        <w:spacing w:after="0"/>
        <w:ind w:left="0"/>
        <w:jc w:val="both"/>
      </w:pPr>
      <w:r>
        <w:rPr>
          <w:rFonts w:ascii="Times New Roman"/>
          <w:b w:val="false"/>
          <w:i w:val="false"/>
          <w:color w:val="000000"/>
          <w:sz w:val="28"/>
        </w:rPr>
        <w:t>
      4. Управляющий инвестиционным портфелем рассчитывает коэффициент достаточности собственного капитала по формуле:</w:t>
      </w:r>
    </w:p>
    <w:bookmarkEnd w:id="100"/>
    <w:bookmarkStart w:name="z335" w:id="101"/>
    <w:p>
      <w:pPr>
        <w:spacing w:after="0"/>
        <w:ind w:left="0"/>
        <w:jc w:val="both"/>
      </w:pPr>
      <w:r>
        <w:rPr>
          <w:rFonts w:ascii="Times New Roman"/>
          <w:b w:val="false"/>
          <w:i w:val="false"/>
          <w:color w:val="000000"/>
          <w:sz w:val="28"/>
        </w:rPr>
        <w:t>
      К = (ВЛА+ЛА - О) / (МРСК+Ор_УИП), где:</w:t>
      </w:r>
    </w:p>
    <w:bookmarkEnd w:id="101"/>
    <w:bookmarkStart w:name="z336" w:id="102"/>
    <w:p>
      <w:pPr>
        <w:spacing w:after="0"/>
        <w:ind w:left="0"/>
        <w:jc w:val="both"/>
      </w:pPr>
      <w:r>
        <w:rPr>
          <w:rFonts w:ascii="Times New Roman"/>
          <w:b w:val="false"/>
          <w:i w:val="false"/>
          <w:color w:val="000000"/>
          <w:sz w:val="28"/>
        </w:rPr>
        <w:t>
      ВЛА - высоколиквидные активы управляющего инвестиционным портфелем, имеющиеся на дату расчета, которые признаются высоколиквидными в соответствии с пунктом 6 Методики;</w:t>
      </w:r>
    </w:p>
    <w:bookmarkEnd w:id="102"/>
    <w:bookmarkStart w:name="z337" w:id="103"/>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6 Методики;</w:t>
      </w:r>
    </w:p>
    <w:bookmarkEnd w:id="103"/>
    <w:bookmarkStart w:name="z338" w:id="104"/>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104"/>
    <w:bookmarkStart w:name="z339" w:id="105"/>
    <w:p>
      <w:pPr>
        <w:spacing w:after="0"/>
        <w:ind w:left="0"/>
        <w:jc w:val="both"/>
      </w:pPr>
      <w:r>
        <w:rPr>
          <w:rFonts w:ascii="Times New Roman"/>
          <w:b w:val="false"/>
          <w:i w:val="false"/>
          <w:color w:val="000000"/>
          <w:sz w:val="28"/>
        </w:rPr>
        <w:t>
      МРСК - минимальный размер собственного капитала управляющего инвестиционным портфелем, принимаемый в расчет достаточности собственного капитала, составляющий 50 000 (пятьдесят тысяч) МРП;</w:t>
      </w:r>
    </w:p>
    <w:bookmarkEnd w:id="105"/>
    <w:bookmarkStart w:name="z340" w:id="106"/>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дату расчета, умноженный на коэффициент операционного риска УИП – 0,1%.</w:t>
      </w:r>
    </w:p>
    <w:bookmarkEnd w:id="106"/>
    <w:bookmarkStart w:name="z341" w:id="107"/>
    <w:p>
      <w:pPr>
        <w:spacing w:after="0"/>
        <w:ind w:left="0"/>
        <w:jc w:val="both"/>
      </w:pPr>
      <w:r>
        <w:rPr>
          <w:rFonts w:ascii="Times New Roman"/>
          <w:b w:val="false"/>
          <w:i w:val="false"/>
          <w:color w:val="000000"/>
          <w:sz w:val="28"/>
        </w:rPr>
        <w:t>
      5. Минимальное значение коэффициентов срочной ликвидности управляющего инвестиционным портфелем устанавливается в размере:</w:t>
      </w:r>
    </w:p>
    <w:bookmarkEnd w:id="107"/>
    <w:bookmarkStart w:name="z342" w:id="108"/>
    <w:p>
      <w:pPr>
        <w:spacing w:after="0"/>
        <w:ind w:left="0"/>
        <w:jc w:val="both"/>
      </w:pPr>
      <w:r>
        <w:rPr>
          <w:rFonts w:ascii="Times New Roman"/>
          <w:b w:val="false"/>
          <w:i w:val="false"/>
          <w:color w:val="000000"/>
          <w:sz w:val="28"/>
        </w:rPr>
        <w:t>
      К2-1 – не менее 1;</w:t>
      </w:r>
    </w:p>
    <w:bookmarkEnd w:id="108"/>
    <w:bookmarkStart w:name="z343" w:id="109"/>
    <w:p>
      <w:pPr>
        <w:spacing w:after="0"/>
        <w:ind w:left="0"/>
        <w:jc w:val="both"/>
      </w:pPr>
      <w:r>
        <w:rPr>
          <w:rFonts w:ascii="Times New Roman"/>
          <w:b w:val="false"/>
          <w:i w:val="false"/>
          <w:color w:val="000000"/>
          <w:sz w:val="28"/>
        </w:rPr>
        <w:t>
      К2-2 – не менее 0,9;</w:t>
      </w:r>
    </w:p>
    <w:bookmarkEnd w:id="109"/>
    <w:bookmarkStart w:name="z344" w:id="110"/>
    <w:p>
      <w:pPr>
        <w:spacing w:after="0"/>
        <w:ind w:left="0"/>
        <w:jc w:val="both"/>
      </w:pPr>
      <w:r>
        <w:rPr>
          <w:rFonts w:ascii="Times New Roman"/>
          <w:b w:val="false"/>
          <w:i w:val="false"/>
          <w:color w:val="000000"/>
          <w:sz w:val="28"/>
        </w:rPr>
        <w:t>
      К2-3 – не менее 0,8;</w:t>
      </w:r>
    </w:p>
    <w:bookmarkEnd w:id="110"/>
    <w:bookmarkStart w:name="z345" w:id="111"/>
    <w:p>
      <w:pPr>
        <w:spacing w:after="0"/>
        <w:ind w:left="0"/>
        <w:jc w:val="both"/>
      </w:pPr>
      <w:r>
        <w:rPr>
          <w:rFonts w:ascii="Times New Roman"/>
          <w:b w:val="false"/>
          <w:i w:val="false"/>
          <w:color w:val="000000"/>
          <w:sz w:val="28"/>
        </w:rPr>
        <w:t>
      К2-4 – не менее 0,5.</w:t>
      </w:r>
    </w:p>
    <w:bookmarkEnd w:id="111"/>
    <w:bookmarkStart w:name="z346" w:id="112"/>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112"/>
    <w:bookmarkStart w:name="z347" w:id="113"/>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совокупных ликвидных активов, то коэффициент срочной ликвидности К2-2 не рассчитывается и считается исполненным.</w:t>
      </w:r>
    </w:p>
    <w:bookmarkEnd w:id="113"/>
    <w:bookmarkStart w:name="z348" w:id="114"/>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114"/>
    <w:bookmarkStart w:name="z349" w:id="115"/>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 от совокупных ликвидных активов, то коэффициент срочной ликвидности К2-4 не рассчитывается и считается исполненным.</w:t>
      </w:r>
    </w:p>
    <w:bookmarkEnd w:id="115"/>
    <w:bookmarkStart w:name="z350" w:id="116"/>
    <w:p>
      <w:pPr>
        <w:spacing w:after="0"/>
        <w:ind w:left="0"/>
        <w:jc w:val="both"/>
      </w:pPr>
      <w:r>
        <w:rPr>
          <w:rFonts w:ascii="Times New Roman"/>
          <w:b w:val="false"/>
          <w:i w:val="false"/>
          <w:color w:val="000000"/>
          <w:sz w:val="28"/>
        </w:rPr>
        <w:t>
       Высоколиквидные и ликвидные активы управляющего инвестиционным портфелем, имеющиеся на дату расчета, признаются таковыми в соответствии с пунктом 6 Методики.</w:t>
      </w:r>
    </w:p>
    <w:bookmarkEnd w:id="116"/>
    <w:bookmarkStart w:name="z351" w:id="117"/>
    <w:p>
      <w:pPr>
        <w:spacing w:after="0"/>
        <w:ind w:left="0"/>
        <w:jc w:val="both"/>
      </w:pPr>
      <w:r>
        <w:rPr>
          <w:rFonts w:ascii="Times New Roman"/>
          <w:b w:val="false"/>
          <w:i w:val="false"/>
          <w:color w:val="000000"/>
          <w:sz w:val="28"/>
        </w:rPr>
        <w:t xml:space="preserve">
      6. В расчет высоколиквидных активов управляющего инвестиционным портфелем включаются активы, указанные в следующих строках Таблицы расчета значений пруденциальных нормативов управляющего инвестиционным портфелем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117"/>
    <w:bookmarkStart w:name="z385" w:id="118"/>
    <w:p>
      <w:pPr>
        <w:spacing w:after="0"/>
        <w:ind w:left="0"/>
        <w:jc w:val="both"/>
      </w:pPr>
      <w:r>
        <w:rPr>
          <w:rFonts w:ascii="Times New Roman"/>
          <w:b w:val="false"/>
          <w:i w:val="false"/>
          <w:color w:val="000000"/>
          <w:sz w:val="28"/>
        </w:rPr>
        <w:t>
      В качестве ликвидных активов управляющего инвестиционным портфелем признаются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bookmarkEnd w:id="118"/>
    <w:bookmarkStart w:name="z386" w:id="119"/>
    <w:p>
      <w:pPr>
        <w:spacing w:after="0"/>
        <w:ind w:left="0"/>
        <w:jc w:val="both"/>
      </w:pPr>
      <w:r>
        <w:rPr>
          <w:rFonts w:ascii="Times New Roman"/>
          <w:b w:val="false"/>
          <w:i w:val="false"/>
          <w:color w:val="000000"/>
          <w:sz w:val="28"/>
        </w:rPr>
        <w:t>
      Управляющий инвестиционным портфелем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управляющего инвестиционным портфелем.</w:t>
      </w:r>
    </w:p>
    <w:bookmarkEnd w:id="119"/>
    <w:bookmarkStart w:name="z387" w:id="120"/>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а также на ценные бумаги являющихся предметом операции "обратного репо", заключенной с участием центрального контрагента.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121"/>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121"/>
    <w:bookmarkStart w:name="z389" w:id="122"/>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122"/>
    <w:bookmarkStart w:name="z390" w:id="123"/>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Таблице расчета значений пруденциальных нормативов управляющего инвестиционным портфелем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23"/>
    <w:bookmarkStart w:name="z391" w:id="124"/>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управляющего инвестиционным портфелем в полном объеме;</w:t>
      </w:r>
    </w:p>
    <w:bookmarkEnd w:id="124"/>
    <w:bookmarkStart w:name="z392" w:id="125"/>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управляющего инвестиционным портфелем, в размере 70 % от совокупного объема ценных бумаг являющихся предметом операций репо;</w:t>
      </w:r>
    </w:p>
    <w:bookmarkEnd w:id="125"/>
    <w:bookmarkStart w:name="z393" w:id="126"/>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управляющего инвестиционным портфелем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26"/>
    <w:bookmarkStart w:name="z394" w:id="127"/>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управляющего инвестиционным портфелем в размере 95 %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27"/>
    <w:bookmarkStart w:name="z395" w:id="128"/>
    <w:p>
      <w:pPr>
        <w:spacing w:after="0"/>
        <w:ind w:left="0"/>
        <w:jc w:val="both"/>
      </w:pPr>
      <w:r>
        <w:rPr>
          <w:rFonts w:ascii="Times New Roman"/>
          <w:b w:val="false"/>
          <w:i w:val="false"/>
          <w:color w:val="000000"/>
          <w:sz w:val="28"/>
        </w:rPr>
        <w:t>
      Ценные бумаги, являющиеся предметом операций репо отражаются в строках 6.3, 6.4, 6.5 Таблицы расчета значений пруденциальных нормативов управляющего инвестиционным портфелем согласно приложению к Правилам.</w:t>
      </w:r>
    </w:p>
    <w:bookmarkEnd w:id="128"/>
    <w:bookmarkStart w:name="z396" w:id="129"/>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152" w:id="130"/>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30"/>
    <w:bookmarkStart w:name="z153" w:id="1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7 "Об установлении пруденциального норматива для организаций, осуществляющих управление инвестиционным портфелем, утверждении Правил расчета значений пруденциального норматива для организаций,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 за исключением подпункта 2) пункта 2 (зарегистрировано в Реестре государственной регистрации нормативных правовых актов под № 9410, опубликовано 29 мая 2014 года в информационно-правовой системе "Әділет").</w:t>
      </w:r>
    </w:p>
    <w:bookmarkEnd w:id="131"/>
    <w:bookmarkStart w:name="z154" w:id="1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деятельности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152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 (зарегистрировано в Реестре государственной регистрации нормативных правовых актов под № 9732, опубликовано 18 сентября 2014 года в информационно-правовой системе "Әділет").</w:t>
      </w:r>
    </w:p>
    <w:bookmarkEnd w:id="132"/>
    <w:bookmarkStart w:name="z155" w:id="1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 опубликовано 18 марта 2015 года в информационно-правовой системе "Әділет").</w:t>
      </w:r>
    </w:p>
    <w:bookmarkEnd w:id="133"/>
    <w:bookmarkStart w:name="z156" w:id="1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23</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в которые вносятся изменения, утвержденного постановлением Правления Национального Банка Республики Казахстан от 19 декабря 2015 года № 250 "О внесении изменений в некоторые нормативные правовые акты Республики Казахстан по вопросам рынка ценных бумаг" (зарегистрировано в Реестре государственной регистрации нормативных правовых актов под № 13001, опубликовано 12 февраля 2016 года в информационно-правовой системе "Әділет").</w:t>
      </w:r>
    </w:p>
    <w:bookmarkEnd w:id="134"/>
    <w:bookmarkStart w:name="z157" w:id="1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согласно приложению 2 к постановлению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w:t>
      </w:r>
    </w:p>
    <w:bookmarkEnd w:id="135"/>
    <w:bookmarkStart w:name="z158" w:id="1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(зарегистрировано в Реестре государственной регистрации нормативных правовых актов под № 16498, опубликовано 19 марта 2018 года в Эталонном контрольном банке нормативных правовых актов Республики Казахстан).</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