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ac9ff" w14:textId="caac9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подачи и рассмотрения заявлений на выдачу лицензий на разведку твердых полезных ископаемых</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23 мая 2018 года № 365. Зарегистрирован в Министерстве юстиции Республики Казахстан 6 июня 2018 года № 17003.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188 Кодекса Республики Казахстан "О недрах и недропользовании" 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промышленности и строительства РК от 14.09.2023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подачи и рассмотрения заявлений на выдачу лицензий на разведку твердых полезных ископаемых.</w:t>
      </w:r>
    </w:p>
    <w:bookmarkEnd w:id="1"/>
    <w:bookmarkStart w:name="z6" w:id="2"/>
    <w:p>
      <w:pPr>
        <w:spacing w:after="0"/>
        <w:ind w:left="0"/>
        <w:jc w:val="both"/>
      </w:pPr>
      <w:r>
        <w:rPr>
          <w:rFonts w:ascii="Times New Roman"/>
          <w:b w:val="false"/>
          <w:i w:val="false"/>
          <w:color w:val="000000"/>
          <w:sz w:val="28"/>
        </w:rPr>
        <w:t>
      2. Департаменту недропользования Министерства по инвестициям и развитию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и 3)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с 29 июня 2018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по инвестициям и развитию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365</w:t>
            </w:r>
          </w:p>
        </w:tc>
      </w:tr>
    </w:tbl>
    <w:bookmarkStart w:name="z15" w:id="9"/>
    <w:p>
      <w:pPr>
        <w:spacing w:after="0"/>
        <w:ind w:left="0"/>
        <w:jc w:val="left"/>
      </w:pPr>
      <w:r>
        <w:rPr>
          <w:rFonts w:ascii="Times New Roman"/>
          <w:b/>
          <w:i w:val="false"/>
          <w:color w:val="000000"/>
        </w:rPr>
        <w:t xml:space="preserve"> Правила подачи и рассмотрения заявлений на выдачу лицензий на разведку твердых полезных ископаемых</w:t>
      </w:r>
    </w:p>
    <w:bookmarkEnd w:id="9"/>
    <w:p>
      <w:pPr>
        <w:spacing w:after="0"/>
        <w:ind w:left="0"/>
        <w:jc w:val="both"/>
      </w:pPr>
      <w:r>
        <w:rPr>
          <w:rFonts w:ascii="Times New Roman"/>
          <w:b w:val="false"/>
          <w:i w:val="false"/>
          <w:color w:val="ff0000"/>
          <w:sz w:val="28"/>
        </w:rPr>
        <w:t xml:space="preserve">
      Сноска. Правила - в редакции приказа и.о. Министра промышленности и строительства РК от 14.09.2023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подачи и рассмотрения заявлений на выдачу лицензий на разведку твердых полезных ископаемых (далее –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188 Кодекса Республики Казахстан "О недрах и недропользовании" (далее - Кодекс) 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определяет порядок подачи и рассмотрения заявлений на выдачу лицензий на разведку твердых полезных ископаемых.</w:t>
      </w:r>
    </w:p>
    <w:bookmarkEnd w:id="11"/>
    <w:bookmarkStart w:name="z18" w:id="12"/>
    <w:p>
      <w:pPr>
        <w:spacing w:after="0"/>
        <w:ind w:left="0"/>
        <w:jc w:val="both"/>
      </w:pPr>
      <w:r>
        <w:rPr>
          <w:rFonts w:ascii="Times New Roman"/>
          <w:b w:val="false"/>
          <w:i w:val="false"/>
          <w:color w:val="000000"/>
          <w:sz w:val="28"/>
        </w:rPr>
        <w:t>
      2. Государственная услуга "Выдача лицензии на разведку твердых полезных ископаемых" (далее – государственная услуга) оказывается Министерством промышленности и строительства Республики Казахстан (далее – услугодатель).</w:t>
      </w:r>
    </w:p>
    <w:bookmarkEnd w:id="12"/>
    <w:bookmarkStart w:name="z19" w:id="13"/>
    <w:p>
      <w:pPr>
        <w:spacing w:after="0"/>
        <w:ind w:left="0"/>
        <w:jc w:val="both"/>
      </w:pPr>
      <w:r>
        <w:rPr>
          <w:rFonts w:ascii="Times New Roman"/>
          <w:b w:val="false"/>
          <w:i w:val="false"/>
          <w:color w:val="000000"/>
          <w:sz w:val="28"/>
        </w:rPr>
        <w:t>
      3. Государственная услуга оказывается физическим и юридическим лицам, осуществляющим деятельность в сфере недропользования (далее – услугополучатель).</w:t>
      </w:r>
    </w:p>
    <w:bookmarkEnd w:id="13"/>
    <w:bookmarkStart w:name="z20" w:id="14"/>
    <w:p>
      <w:pPr>
        <w:spacing w:after="0"/>
        <w:ind w:left="0"/>
        <w:jc w:val="both"/>
      </w:pPr>
      <w:r>
        <w:rPr>
          <w:rFonts w:ascii="Times New Roman"/>
          <w:b w:val="false"/>
          <w:i w:val="false"/>
          <w:color w:val="000000"/>
          <w:sz w:val="28"/>
        </w:rPr>
        <w:t xml:space="preserve">
      4. Лицензия на разведку твердых полезных ископаемых выдается по территориям, определяемым программой управления государственным фондом недр. Программа управления государственным фондом недр утверждается компетентным органом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части второй статьи 60 Кодекса.</w:t>
      </w:r>
    </w:p>
    <w:bookmarkEnd w:id="14"/>
    <w:bookmarkStart w:name="z21" w:id="15"/>
    <w:p>
      <w:pPr>
        <w:spacing w:after="0"/>
        <w:ind w:left="0"/>
        <w:jc w:val="both"/>
      </w:pPr>
      <w:r>
        <w:rPr>
          <w:rFonts w:ascii="Times New Roman"/>
          <w:b w:val="false"/>
          <w:i w:val="false"/>
          <w:color w:val="000000"/>
          <w:sz w:val="28"/>
        </w:rPr>
        <w:t>
      5. Территория, указываемая в заявлении на выдачу лицензии на разведку твердых полезных ископаемых, не может быть более двухсот блоков.</w:t>
      </w:r>
    </w:p>
    <w:bookmarkEnd w:id="15"/>
    <w:bookmarkStart w:name="z22" w:id="16"/>
    <w:p>
      <w:pPr>
        <w:spacing w:after="0"/>
        <w:ind w:left="0"/>
        <w:jc w:val="both"/>
      </w:pPr>
      <w:r>
        <w:rPr>
          <w:rFonts w:ascii="Times New Roman"/>
          <w:b w:val="false"/>
          <w:i w:val="false"/>
          <w:color w:val="000000"/>
          <w:sz w:val="28"/>
        </w:rPr>
        <w:t>
      6. Выдача лицензии на разведку твердых полезных ископаемых не допускается:</w:t>
      </w:r>
    </w:p>
    <w:bookmarkEnd w:id="16"/>
    <w:bookmarkStart w:name="z23" w:id="17"/>
    <w:p>
      <w:pPr>
        <w:spacing w:after="0"/>
        <w:ind w:left="0"/>
        <w:jc w:val="both"/>
      </w:pPr>
      <w:r>
        <w:rPr>
          <w:rFonts w:ascii="Times New Roman"/>
          <w:b w:val="false"/>
          <w:i w:val="false"/>
          <w:color w:val="000000"/>
          <w:sz w:val="28"/>
        </w:rPr>
        <w:t xml:space="preserve">
      1) в случаях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25 Кодекса.</w:t>
      </w:r>
    </w:p>
    <w:bookmarkEnd w:id="17"/>
    <w:bookmarkStart w:name="z24" w:id="18"/>
    <w:p>
      <w:pPr>
        <w:spacing w:after="0"/>
        <w:ind w:left="0"/>
        <w:jc w:val="both"/>
      </w:pPr>
      <w:r>
        <w:rPr>
          <w:rFonts w:ascii="Times New Roman"/>
          <w:b w:val="false"/>
          <w:i w:val="false"/>
          <w:color w:val="000000"/>
          <w:sz w:val="28"/>
        </w:rPr>
        <w:t xml:space="preserve">
      2) в отношении блока, полностью расположенного в пределах территории участка недр, находящегося в пользовании у другого лица для проведения операций по добыче углеводородов, в том числе определенной горным отводом к контракту на недропользование по углеводородам либо действующим протоколом о заключении контракта на добычу углеводородов, подписанным по результатам прямых переговоров или по итогам конкурса на предоставление права недропользования, состоявшихся до введения в действие </w:t>
      </w:r>
      <w:r>
        <w:rPr>
          <w:rFonts w:ascii="Times New Roman"/>
          <w:b w:val="false"/>
          <w:i w:val="false"/>
          <w:color w:val="000000"/>
          <w:sz w:val="28"/>
        </w:rPr>
        <w:t>Кодекса</w:t>
      </w:r>
      <w:r>
        <w:rPr>
          <w:rFonts w:ascii="Times New Roman"/>
          <w:b w:val="false"/>
          <w:i w:val="false"/>
          <w:color w:val="000000"/>
          <w:sz w:val="28"/>
        </w:rPr>
        <w:t>, без его согласия;</w:t>
      </w:r>
    </w:p>
    <w:bookmarkEnd w:id="18"/>
    <w:bookmarkStart w:name="z25" w:id="19"/>
    <w:p>
      <w:pPr>
        <w:spacing w:after="0"/>
        <w:ind w:left="0"/>
        <w:jc w:val="both"/>
      </w:pPr>
      <w:r>
        <w:rPr>
          <w:rFonts w:ascii="Times New Roman"/>
          <w:b w:val="false"/>
          <w:i w:val="false"/>
          <w:color w:val="000000"/>
          <w:sz w:val="28"/>
        </w:rPr>
        <w:t>
      3) в отношении блока, полностью расположенного в пределах территории участка недр, предоставленного для проведения операций по использованию пространства недр, в том числе контрактной территории, определенной горным отводом к контракту на строительство и (или) эксплуатацию подземных сооружений, не связанных с разведкой и (или) добычей, а также территории, в отношении которой действует протокол о заключении контракта по результатам прямых переговоров либо по итогам конкурса на предоставление права недропользования, состоявшихся до введения в действие Кодекса;</w:t>
      </w:r>
    </w:p>
    <w:bookmarkEnd w:id="19"/>
    <w:bookmarkStart w:name="z26" w:id="20"/>
    <w:p>
      <w:pPr>
        <w:spacing w:after="0"/>
        <w:ind w:left="0"/>
        <w:jc w:val="both"/>
      </w:pPr>
      <w:r>
        <w:rPr>
          <w:rFonts w:ascii="Times New Roman"/>
          <w:b w:val="false"/>
          <w:i w:val="false"/>
          <w:color w:val="000000"/>
          <w:sz w:val="28"/>
        </w:rPr>
        <w:t>
      4) в отношении блока, полностью или частично относящегося к территории участка разведки твердых полезных ископаемых по другой лицензии на разведку твердых полезных ископаемых, в том числе контрактной территории, определенной геологическим отводом к контракту на недропользование по твердым полезным ископаемым или общераспространенным полезным ископаемым, а также территории, в отношении которой действует протокол о заключении контракта на разведку твердых полезных ископаемых или общераспространенных полезных ископаемых по результатам прямых переговоров либо по итогам конкурса на предоставление права недропользования, состоявшихся до введения в действие Кодекса;</w:t>
      </w:r>
    </w:p>
    <w:bookmarkEnd w:id="20"/>
    <w:bookmarkStart w:name="z27" w:id="21"/>
    <w:p>
      <w:pPr>
        <w:spacing w:after="0"/>
        <w:ind w:left="0"/>
        <w:jc w:val="both"/>
      </w:pPr>
      <w:r>
        <w:rPr>
          <w:rFonts w:ascii="Times New Roman"/>
          <w:b w:val="false"/>
          <w:i w:val="false"/>
          <w:color w:val="000000"/>
          <w:sz w:val="28"/>
        </w:rPr>
        <w:t xml:space="preserve">
      5) в отношении блока, полностью расположенного в пределах территории участка добычи твердых полезных ископаемых или территории, на которую имеется заявление на выдачу лицензии на добычу твердых полезных ископаемых, в том числе контрактной территории, определенной горным отводом к контракту по твердым полезным ископаемым или общераспространенным полезным ископаемым, а также территории, в отношении которой действует протокол о заключении контракта на добычу твердых полезных ископаемых или общераспространенных полезных ископаемых по результатам прямых переговоров либо по итогам конкурса на предоставление права недропользования, состоявшихся до введения в действие </w:t>
      </w:r>
      <w:r>
        <w:rPr>
          <w:rFonts w:ascii="Times New Roman"/>
          <w:b w:val="false"/>
          <w:i w:val="false"/>
          <w:color w:val="000000"/>
          <w:sz w:val="28"/>
        </w:rPr>
        <w:t>Кодекса</w:t>
      </w:r>
      <w:r>
        <w:rPr>
          <w:rFonts w:ascii="Times New Roman"/>
          <w:b w:val="false"/>
          <w:i w:val="false"/>
          <w:color w:val="000000"/>
          <w:sz w:val="28"/>
        </w:rPr>
        <w:t>;</w:t>
      </w:r>
    </w:p>
    <w:bookmarkEnd w:id="21"/>
    <w:bookmarkStart w:name="z28" w:id="22"/>
    <w:p>
      <w:pPr>
        <w:spacing w:after="0"/>
        <w:ind w:left="0"/>
        <w:jc w:val="both"/>
      </w:pPr>
      <w:r>
        <w:rPr>
          <w:rFonts w:ascii="Times New Roman"/>
          <w:b w:val="false"/>
          <w:i w:val="false"/>
          <w:color w:val="000000"/>
          <w:sz w:val="28"/>
        </w:rPr>
        <w:t>
      6) в отношении блока, полностью расположенного в пределах территории, на которой проводится ликвидация последствий разведки или добычи твердых полезных ископаемых;</w:t>
      </w:r>
    </w:p>
    <w:bookmarkEnd w:id="22"/>
    <w:bookmarkStart w:name="z29" w:id="23"/>
    <w:p>
      <w:pPr>
        <w:spacing w:after="0"/>
        <w:ind w:left="0"/>
        <w:jc w:val="both"/>
      </w:pPr>
      <w:r>
        <w:rPr>
          <w:rFonts w:ascii="Times New Roman"/>
          <w:b w:val="false"/>
          <w:i w:val="false"/>
          <w:color w:val="000000"/>
          <w:sz w:val="28"/>
        </w:rPr>
        <w:t>
      7) в отношении блока, полностью расположенного в пределах территории участка добычи урана.</w:t>
      </w:r>
    </w:p>
    <w:bookmarkEnd w:id="23"/>
    <w:bookmarkStart w:name="z30" w:id="24"/>
    <w:p>
      <w:pPr>
        <w:spacing w:after="0"/>
        <w:ind w:left="0"/>
        <w:jc w:val="both"/>
      </w:pPr>
      <w:r>
        <w:rPr>
          <w:rFonts w:ascii="Times New Roman"/>
          <w:b w:val="false"/>
          <w:i w:val="false"/>
          <w:color w:val="000000"/>
          <w:sz w:val="28"/>
        </w:rPr>
        <w:t>
      7. Лицензия на разведку твердых полезных ископаемых, помимо полных блоков, также выдается в отношении следующих неполных (частичных) блоков:</w:t>
      </w:r>
    </w:p>
    <w:bookmarkEnd w:id="24"/>
    <w:bookmarkStart w:name="z31" w:id="25"/>
    <w:p>
      <w:pPr>
        <w:spacing w:after="0"/>
        <w:ind w:left="0"/>
        <w:jc w:val="both"/>
      </w:pPr>
      <w:r>
        <w:rPr>
          <w:rFonts w:ascii="Times New Roman"/>
          <w:b w:val="false"/>
          <w:i w:val="false"/>
          <w:color w:val="000000"/>
          <w:sz w:val="28"/>
        </w:rPr>
        <w:t>
      1) блока, стороны которого полностью охватывают:</w:t>
      </w:r>
    </w:p>
    <w:bookmarkEnd w:id="25"/>
    <w:bookmarkStart w:name="z32" w:id="26"/>
    <w:p>
      <w:pPr>
        <w:spacing w:after="0"/>
        <w:ind w:left="0"/>
        <w:jc w:val="both"/>
      </w:pPr>
      <w:r>
        <w:rPr>
          <w:rFonts w:ascii="Times New Roman"/>
          <w:b w:val="false"/>
          <w:i w:val="false"/>
          <w:color w:val="000000"/>
          <w:sz w:val="28"/>
        </w:rPr>
        <w:t>
      территорию участка недр, предоставленного для проведения операций по использованию пространства недр, в том числе определенную горным отводом к контракту на строительство и (или) эксплуатацию подземных сооружений, не связанных с разведкой и (или) добычей, либо действующим протоколом о заключении контракта по результатам прямых переговоров или по итогам конкурса на предоставление права недропользования, состоявшихся до введения в действие Кодекса;</w:t>
      </w:r>
    </w:p>
    <w:bookmarkEnd w:id="26"/>
    <w:bookmarkStart w:name="z33" w:id="27"/>
    <w:p>
      <w:pPr>
        <w:spacing w:after="0"/>
        <w:ind w:left="0"/>
        <w:jc w:val="both"/>
      </w:pPr>
      <w:r>
        <w:rPr>
          <w:rFonts w:ascii="Times New Roman"/>
          <w:b w:val="false"/>
          <w:i w:val="false"/>
          <w:color w:val="000000"/>
          <w:sz w:val="28"/>
        </w:rPr>
        <w:t>
      территорию участка недр, предоставленного для проведения операций по использованию пространства недр, в том числе определенную горным отводом к контракту на строительство и (или) эксплуатацию подземных сооружений, не связанных с разведкой и (или) добычей, либо действующим протоколом о заключении контракта на строительство и (или) эксплуатацию подземных сооружений, не связанных с разведкой и (или) добычей, подписанным по результатам прямых переговоров или по итогам конкурса на предоставление права недропользования, состоявшихся до введения в действие Кодекса;</w:t>
      </w:r>
    </w:p>
    <w:bookmarkEnd w:id="27"/>
    <w:bookmarkStart w:name="z34" w:id="28"/>
    <w:p>
      <w:pPr>
        <w:spacing w:after="0"/>
        <w:ind w:left="0"/>
        <w:jc w:val="both"/>
      </w:pPr>
      <w:r>
        <w:rPr>
          <w:rFonts w:ascii="Times New Roman"/>
          <w:b w:val="false"/>
          <w:i w:val="false"/>
          <w:color w:val="000000"/>
          <w:sz w:val="28"/>
        </w:rPr>
        <w:t>
      территорию участка добычи твердых полезных ископаемых или территории, на которую имеется заявление на выдачу лицензии на добычу твердых полезных ископаемых, в том числе определенную горным отводом к контракту по твердым полезным ископаемым или общераспространенным полезным ископаемым, либо действующим протоколом о заключении контракта на добычу твердых полезных ископаемых или общераспространенных полезных ископаемых, подписанным по результатам прямых переговоров либо по итогам конкурса на предоставление права недропользования, состоявшихся до введения в действие Кодекса;</w:t>
      </w:r>
    </w:p>
    <w:bookmarkEnd w:id="28"/>
    <w:bookmarkStart w:name="z35" w:id="29"/>
    <w:p>
      <w:pPr>
        <w:spacing w:after="0"/>
        <w:ind w:left="0"/>
        <w:jc w:val="both"/>
      </w:pPr>
      <w:r>
        <w:rPr>
          <w:rFonts w:ascii="Times New Roman"/>
          <w:b w:val="false"/>
          <w:i w:val="false"/>
          <w:color w:val="000000"/>
          <w:sz w:val="28"/>
        </w:rPr>
        <w:t>
      территорию, на которой проводится ликвидация последствий разведки или добычи твердых полезных ископаемых;</w:t>
      </w:r>
    </w:p>
    <w:bookmarkEnd w:id="29"/>
    <w:bookmarkStart w:name="z36" w:id="30"/>
    <w:p>
      <w:pPr>
        <w:spacing w:after="0"/>
        <w:ind w:left="0"/>
        <w:jc w:val="both"/>
      </w:pPr>
      <w:r>
        <w:rPr>
          <w:rFonts w:ascii="Times New Roman"/>
          <w:b w:val="false"/>
          <w:i w:val="false"/>
          <w:color w:val="000000"/>
          <w:sz w:val="28"/>
        </w:rPr>
        <w:t>
      территорию участка добычи урана;</w:t>
      </w:r>
    </w:p>
    <w:bookmarkEnd w:id="30"/>
    <w:bookmarkStart w:name="z37" w:id="31"/>
    <w:p>
      <w:pPr>
        <w:spacing w:after="0"/>
        <w:ind w:left="0"/>
        <w:jc w:val="both"/>
      </w:pPr>
      <w:r>
        <w:rPr>
          <w:rFonts w:ascii="Times New Roman"/>
          <w:b w:val="false"/>
          <w:i w:val="false"/>
          <w:color w:val="000000"/>
          <w:sz w:val="28"/>
        </w:rPr>
        <w:t>
      2) блока, который частично расположен на территориях (территории), указанных (указанной) в подпункте 1) настоящего пункта, при условии, что такой блок имеет хотя бы одну общую сторону с другим неполным (частичным) или полным блоком и такая общая сторона не расположена на указанных территориях;</w:t>
      </w:r>
    </w:p>
    <w:bookmarkEnd w:id="31"/>
    <w:bookmarkStart w:name="z38" w:id="32"/>
    <w:p>
      <w:pPr>
        <w:spacing w:after="0"/>
        <w:ind w:left="0"/>
        <w:jc w:val="both"/>
      </w:pPr>
      <w:r>
        <w:rPr>
          <w:rFonts w:ascii="Times New Roman"/>
          <w:b w:val="false"/>
          <w:i w:val="false"/>
          <w:color w:val="000000"/>
          <w:sz w:val="28"/>
        </w:rPr>
        <w:t xml:space="preserve">
      3) блока, который частично относится к территориям,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25 Кодекса.</w:t>
      </w:r>
    </w:p>
    <w:bookmarkEnd w:id="32"/>
    <w:bookmarkStart w:name="z39" w:id="33"/>
    <w:p>
      <w:pPr>
        <w:spacing w:after="0"/>
        <w:ind w:left="0"/>
        <w:jc w:val="both"/>
      </w:pPr>
      <w:r>
        <w:rPr>
          <w:rFonts w:ascii="Times New Roman"/>
          <w:b w:val="false"/>
          <w:i w:val="false"/>
          <w:color w:val="000000"/>
          <w:sz w:val="28"/>
        </w:rPr>
        <w:t>
      Включение в лицензию на разведку блока, частично приходящегося на территорию участка недр для проведения операций по добыче углеводородов или твердых полезных ископаемых, допускается только с письменного согласия недропользователей по данным участкам.</w:t>
      </w:r>
    </w:p>
    <w:bookmarkEnd w:id="33"/>
    <w:bookmarkStart w:name="z40" w:id="34"/>
    <w:p>
      <w:pPr>
        <w:spacing w:after="0"/>
        <w:ind w:left="0"/>
        <w:jc w:val="both"/>
      </w:pPr>
      <w:r>
        <w:rPr>
          <w:rFonts w:ascii="Times New Roman"/>
          <w:b w:val="false"/>
          <w:i w:val="false"/>
          <w:color w:val="000000"/>
          <w:sz w:val="28"/>
        </w:rPr>
        <w:t>
      При выдаче лицензии в отношении неполных (частичных) блоков территория участка разведки считается сформированной, в том числе из таких неполных (частичных) блоков по границам территорий, указанных в подпунктах 1), 2) и 3) части первой настоящего пункта. При прекращении обстоятельств, послуживших основанием для формирования неполного (частичного) блока, включенного в лицензию на разведку, данный блок признается полным в целях определения границ территории участка разведки.</w:t>
      </w:r>
    </w:p>
    <w:bookmarkEnd w:id="34"/>
    <w:bookmarkStart w:name="z41" w:id="35"/>
    <w:p>
      <w:pPr>
        <w:spacing w:after="0"/>
        <w:ind w:left="0"/>
        <w:jc w:val="both"/>
      </w:pPr>
      <w:r>
        <w:rPr>
          <w:rFonts w:ascii="Times New Roman"/>
          <w:b w:val="false"/>
          <w:i w:val="false"/>
          <w:color w:val="000000"/>
          <w:sz w:val="28"/>
        </w:rPr>
        <w:t xml:space="preserve">
      Правило, предусмотренное в части третьей настоящего пункта, не применяется к блокам, частично относящимся к территориям,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25 Кодекса, и включенным в территорию участка разведки. В пределах таких блоков применяется запрет на проведение операций по недропользованию в той части, в которой данные блоки затрагивают территории и объекты,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25 Кодекса.</w:t>
      </w:r>
    </w:p>
    <w:bookmarkEnd w:id="35"/>
    <w:bookmarkStart w:name="z42" w:id="36"/>
    <w:p>
      <w:pPr>
        <w:spacing w:after="0"/>
        <w:ind w:left="0"/>
        <w:jc w:val="left"/>
      </w:pPr>
      <w:r>
        <w:rPr>
          <w:rFonts w:ascii="Times New Roman"/>
          <w:b/>
          <w:i w:val="false"/>
          <w:color w:val="000000"/>
        </w:rPr>
        <w:t xml:space="preserve"> Глава 2. Порядок оказания государственной услуги</w:t>
      </w:r>
    </w:p>
    <w:bookmarkEnd w:id="36"/>
    <w:bookmarkStart w:name="z43" w:id="37"/>
    <w:p>
      <w:pPr>
        <w:spacing w:after="0"/>
        <w:ind w:left="0"/>
        <w:jc w:val="both"/>
      </w:pPr>
      <w:r>
        <w:rPr>
          <w:rFonts w:ascii="Times New Roman"/>
          <w:b w:val="false"/>
          <w:i w:val="false"/>
          <w:color w:val="000000"/>
          <w:sz w:val="28"/>
        </w:rPr>
        <w:t xml:space="preserve">
      8. Услугополучатель для получения государственной услуги подает посредством единой платформы недропользователей "Minerals.gov.kz" (далее – ЕПН "Minerals.gov.kz") заявление о выдаче лицензий на разведку твердых полезных ископаемых, с предусмотренными документами, указанными в пункте 8 Перечня основных требований к оказанию государственной услуги "Выдача лицензии на разведку твердых полезных ископаемых"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37"/>
    <w:bookmarkStart w:name="z44" w:id="38"/>
    <w:p>
      <w:pPr>
        <w:spacing w:after="0"/>
        <w:ind w:left="0"/>
        <w:jc w:val="both"/>
      </w:pPr>
      <w:r>
        <w:rPr>
          <w:rFonts w:ascii="Times New Roman"/>
          <w:b w:val="false"/>
          <w:i w:val="false"/>
          <w:color w:val="000000"/>
          <w:sz w:val="28"/>
        </w:rPr>
        <w:t xml:space="preserve">
      Датой начала приема услугодателем заявлений о выдаче лицензий на разведку твердых полезных ископаемых в пределах территорий, впервые включаемых в программу управления государственным фондом недр и не относящихся к территориям, указанным в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278 Кодекса является дата, предусмотренная в программе управления государственным фондом недр, утверждаемой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60 Кодекса, но не ранее чем через два месяца со дня утверждения программы управления государственным фондом недр или внесения в нее соответствующих изменений.</w:t>
      </w:r>
    </w:p>
    <w:bookmarkEnd w:id="38"/>
    <w:bookmarkStart w:name="z45" w:id="39"/>
    <w:p>
      <w:pPr>
        <w:spacing w:after="0"/>
        <w:ind w:left="0"/>
        <w:jc w:val="both"/>
      </w:pPr>
      <w:r>
        <w:rPr>
          <w:rFonts w:ascii="Times New Roman"/>
          <w:b w:val="false"/>
          <w:i w:val="false"/>
          <w:color w:val="000000"/>
          <w:sz w:val="28"/>
        </w:rPr>
        <w:t xml:space="preserve">
      Если указываемая в заявлении территория разведки включает в себя часть блока в случаях, предусмотренных </w:t>
      </w:r>
      <w:r>
        <w:rPr>
          <w:rFonts w:ascii="Times New Roman"/>
          <w:b w:val="false"/>
          <w:i w:val="false"/>
          <w:color w:val="000000"/>
          <w:sz w:val="28"/>
        </w:rPr>
        <w:t>пунктом 6</w:t>
      </w:r>
      <w:r>
        <w:rPr>
          <w:rFonts w:ascii="Times New Roman"/>
          <w:b w:val="false"/>
          <w:i w:val="false"/>
          <w:color w:val="000000"/>
          <w:sz w:val="28"/>
        </w:rPr>
        <w:t xml:space="preserve"> настоящих Правил, для целей определения условий лицензии при рассмотрении заявления указанный блок считается полным.</w:t>
      </w:r>
    </w:p>
    <w:bookmarkEnd w:id="39"/>
    <w:bookmarkStart w:name="z46" w:id="40"/>
    <w:p>
      <w:pPr>
        <w:spacing w:after="0"/>
        <w:ind w:left="0"/>
        <w:jc w:val="both"/>
      </w:pPr>
      <w:r>
        <w:rPr>
          <w:rFonts w:ascii="Times New Roman"/>
          <w:b w:val="false"/>
          <w:i w:val="false"/>
          <w:color w:val="000000"/>
          <w:sz w:val="28"/>
        </w:rPr>
        <w:t>
      Копии документов, прилагаемых к заявлению, подлежат нотариальному засвидетельствованию.</w:t>
      </w:r>
    </w:p>
    <w:bookmarkEnd w:id="40"/>
    <w:bookmarkStart w:name="z47" w:id="41"/>
    <w:p>
      <w:pPr>
        <w:spacing w:after="0"/>
        <w:ind w:left="0"/>
        <w:jc w:val="both"/>
      </w:pPr>
      <w:r>
        <w:rPr>
          <w:rFonts w:ascii="Times New Roman"/>
          <w:b w:val="false"/>
          <w:i w:val="false"/>
          <w:color w:val="000000"/>
          <w:sz w:val="28"/>
        </w:rPr>
        <w:t>
      Заявление подается на казахском и русском языках. Документы, прилагаемые к заявлению, составляются на казахском и русском языках. Копии документов, составленных на иностранном языке, прилагаемые к заявлению, представляются с переводом на казахский и русский языки, верность которого засвидетельствована нотариусом.</w:t>
      </w:r>
    </w:p>
    <w:bookmarkEnd w:id="41"/>
    <w:bookmarkStart w:name="z48" w:id="42"/>
    <w:p>
      <w:pPr>
        <w:spacing w:after="0"/>
        <w:ind w:left="0"/>
        <w:jc w:val="both"/>
      </w:pPr>
      <w:r>
        <w:rPr>
          <w:rFonts w:ascii="Times New Roman"/>
          <w:b w:val="false"/>
          <w:i w:val="false"/>
          <w:color w:val="000000"/>
          <w:sz w:val="28"/>
        </w:rPr>
        <w:t>
      9. Моментом подачи заявления признается дата и время поступления заявления посредством ЕПН "Minerals.gov.kz" услугодателю и подлежит учету.</w:t>
      </w:r>
    </w:p>
    <w:bookmarkEnd w:id="42"/>
    <w:bookmarkStart w:name="z49" w:id="43"/>
    <w:p>
      <w:pPr>
        <w:spacing w:after="0"/>
        <w:ind w:left="0"/>
        <w:jc w:val="both"/>
      </w:pPr>
      <w:r>
        <w:rPr>
          <w:rFonts w:ascii="Times New Roman"/>
          <w:b w:val="false"/>
          <w:i w:val="false"/>
          <w:color w:val="000000"/>
          <w:sz w:val="28"/>
        </w:rPr>
        <w:t>
      10. Заявления регистрируются в ЕПН "Minerals.gov.kz" с указанием уникального учетного номера, даты и времени (часы, минуты) регистрации.</w:t>
      </w:r>
    </w:p>
    <w:bookmarkEnd w:id="43"/>
    <w:bookmarkStart w:name="z50" w:id="44"/>
    <w:p>
      <w:pPr>
        <w:spacing w:after="0"/>
        <w:ind w:left="0"/>
        <w:jc w:val="both"/>
      </w:pPr>
      <w:r>
        <w:rPr>
          <w:rFonts w:ascii="Times New Roman"/>
          <w:b w:val="false"/>
          <w:i w:val="false"/>
          <w:color w:val="000000"/>
          <w:sz w:val="28"/>
        </w:rPr>
        <w:t>
      Каждое заявление регистрируется отдельно.</w:t>
      </w:r>
    </w:p>
    <w:bookmarkEnd w:id="44"/>
    <w:bookmarkStart w:name="z51" w:id="45"/>
    <w:p>
      <w:pPr>
        <w:spacing w:after="0"/>
        <w:ind w:left="0"/>
        <w:jc w:val="both"/>
      </w:pPr>
      <w:r>
        <w:rPr>
          <w:rFonts w:ascii="Times New Roman"/>
          <w:b w:val="false"/>
          <w:i w:val="false"/>
          <w:color w:val="000000"/>
          <w:sz w:val="28"/>
        </w:rPr>
        <w:t>
      11. Сведения о поданном заявлении подлежат размещению ответственным сотрудником на интернет-ресурсе компетентного органа и в ЕПН "Minerals.gov.kz" в течение двух дней со дня подачи заявления и содержат:</w:t>
      </w:r>
    </w:p>
    <w:bookmarkEnd w:id="45"/>
    <w:bookmarkStart w:name="z52" w:id="46"/>
    <w:p>
      <w:pPr>
        <w:spacing w:after="0"/>
        <w:ind w:left="0"/>
        <w:jc w:val="both"/>
      </w:pPr>
      <w:r>
        <w:rPr>
          <w:rFonts w:ascii="Times New Roman"/>
          <w:b w:val="false"/>
          <w:i w:val="false"/>
          <w:color w:val="000000"/>
          <w:sz w:val="28"/>
        </w:rPr>
        <w:t>
      1) для физических лиц - фамилию, имя, отчество (если оно указано в документе, удостоверяющем личность) заявителя;</w:t>
      </w:r>
    </w:p>
    <w:bookmarkEnd w:id="46"/>
    <w:bookmarkStart w:name="z53" w:id="47"/>
    <w:p>
      <w:pPr>
        <w:spacing w:after="0"/>
        <w:ind w:left="0"/>
        <w:jc w:val="both"/>
      </w:pPr>
      <w:r>
        <w:rPr>
          <w:rFonts w:ascii="Times New Roman"/>
          <w:b w:val="false"/>
          <w:i w:val="false"/>
          <w:color w:val="000000"/>
          <w:sz w:val="28"/>
        </w:rPr>
        <w:t>
      для юридических лиц - наименование заявителя;</w:t>
      </w:r>
    </w:p>
    <w:bookmarkEnd w:id="47"/>
    <w:bookmarkStart w:name="z54" w:id="48"/>
    <w:p>
      <w:pPr>
        <w:spacing w:after="0"/>
        <w:ind w:left="0"/>
        <w:jc w:val="both"/>
      </w:pPr>
      <w:r>
        <w:rPr>
          <w:rFonts w:ascii="Times New Roman"/>
          <w:b w:val="false"/>
          <w:i w:val="false"/>
          <w:color w:val="000000"/>
          <w:sz w:val="28"/>
        </w:rPr>
        <w:t>
      2) код блока (блоков) либо координаты территории, определяющие участок недр, который заявитель просит предоставить в пользование для разведки твердых полезных ископаемых;</w:t>
      </w:r>
    </w:p>
    <w:bookmarkEnd w:id="48"/>
    <w:bookmarkStart w:name="z55" w:id="49"/>
    <w:p>
      <w:pPr>
        <w:spacing w:after="0"/>
        <w:ind w:left="0"/>
        <w:jc w:val="both"/>
      </w:pPr>
      <w:r>
        <w:rPr>
          <w:rFonts w:ascii="Times New Roman"/>
          <w:b w:val="false"/>
          <w:i w:val="false"/>
          <w:color w:val="000000"/>
          <w:sz w:val="28"/>
        </w:rPr>
        <w:t>
      3) дату и время поступления заявления.</w:t>
      </w:r>
    </w:p>
    <w:bookmarkEnd w:id="49"/>
    <w:bookmarkStart w:name="z56" w:id="50"/>
    <w:p>
      <w:pPr>
        <w:spacing w:after="0"/>
        <w:ind w:left="0"/>
        <w:jc w:val="both"/>
      </w:pPr>
      <w:r>
        <w:rPr>
          <w:rFonts w:ascii="Times New Roman"/>
          <w:b w:val="false"/>
          <w:i w:val="false"/>
          <w:color w:val="000000"/>
          <w:sz w:val="28"/>
        </w:rPr>
        <w:t>
      Услугодатель дополняет размещенные сведения на интернет-ресурсе и в ЕПН "Minerals.gov.kz" с отметкой о выдаче или об отказе в выдаче лицензии по результатам рассмотрения заявлений.</w:t>
      </w:r>
    </w:p>
    <w:bookmarkEnd w:id="50"/>
    <w:bookmarkStart w:name="z57" w:id="51"/>
    <w:p>
      <w:pPr>
        <w:spacing w:after="0"/>
        <w:ind w:left="0"/>
        <w:jc w:val="both"/>
      </w:pPr>
      <w:r>
        <w:rPr>
          <w:rFonts w:ascii="Times New Roman"/>
          <w:b w:val="false"/>
          <w:i w:val="false"/>
          <w:color w:val="000000"/>
          <w:sz w:val="28"/>
        </w:rPr>
        <w:t xml:space="preserve">
      12. Услугодатель рассматривает заявление в течение 10 (десяти) рабочих дней со дня его поступления и, при отсутствии оснований для отказа в выдаче лицензии на разведку твердых полезных ископаемых, предусмотренными пунктом 9 </w:t>
      </w:r>
      <w:r>
        <w:rPr>
          <w:rFonts w:ascii="Times New Roman"/>
          <w:b w:val="false"/>
          <w:i w:val="false"/>
          <w:color w:val="000000"/>
          <w:sz w:val="28"/>
        </w:rPr>
        <w:t>приложения</w:t>
      </w:r>
      <w:r>
        <w:rPr>
          <w:rFonts w:ascii="Times New Roman"/>
          <w:b w:val="false"/>
          <w:i w:val="false"/>
          <w:color w:val="000000"/>
          <w:sz w:val="28"/>
        </w:rPr>
        <w:t xml:space="preserve"> к настоящим Правилам, а также с учетом положений </w:t>
      </w:r>
      <w:r>
        <w:rPr>
          <w:rFonts w:ascii="Times New Roman"/>
          <w:b w:val="false"/>
          <w:i w:val="false"/>
          <w:color w:val="000000"/>
          <w:sz w:val="28"/>
        </w:rPr>
        <w:t>пунктов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настоящих Правил направляет услугополучателю уведомление о необходимости предоставления обеспечения исполнения обязательств по ликвидации последствий операций по разведке твердых полезных ископаемых, предусмотренного </w:t>
      </w:r>
      <w:r>
        <w:rPr>
          <w:rFonts w:ascii="Times New Roman"/>
          <w:b w:val="false"/>
          <w:i w:val="false"/>
          <w:color w:val="000000"/>
          <w:sz w:val="28"/>
        </w:rPr>
        <w:t>статьей 198</w:t>
      </w:r>
      <w:r>
        <w:rPr>
          <w:rFonts w:ascii="Times New Roman"/>
          <w:b w:val="false"/>
          <w:i w:val="false"/>
          <w:color w:val="000000"/>
          <w:sz w:val="28"/>
        </w:rPr>
        <w:t xml:space="preserve"> Кодекса.</w:t>
      </w:r>
    </w:p>
    <w:bookmarkEnd w:id="51"/>
    <w:bookmarkStart w:name="z58" w:id="52"/>
    <w:p>
      <w:pPr>
        <w:spacing w:after="0"/>
        <w:ind w:left="0"/>
        <w:jc w:val="both"/>
      </w:pPr>
      <w:r>
        <w:rPr>
          <w:rFonts w:ascii="Times New Roman"/>
          <w:b w:val="false"/>
          <w:i w:val="false"/>
          <w:color w:val="000000"/>
          <w:sz w:val="28"/>
        </w:rPr>
        <w:t>
      13. Уведомление размещается на интернет-ресурсе услугодателя и в ЕПН "Minerals.gov.kz" в течение 5 (пяти) рабочих дней со дня его направления заявителю.</w:t>
      </w:r>
    </w:p>
    <w:bookmarkEnd w:id="52"/>
    <w:bookmarkStart w:name="z59" w:id="53"/>
    <w:p>
      <w:pPr>
        <w:spacing w:after="0"/>
        <w:ind w:left="0"/>
        <w:jc w:val="both"/>
      </w:pPr>
      <w:r>
        <w:rPr>
          <w:rFonts w:ascii="Times New Roman"/>
          <w:b w:val="false"/>
          <w:i w:val="false"/>
          <w:color w:val="000000"/>
          <w:sz w:val="28"/>
        </w:rPr>
        <w:t>
      14. Обеспечение исполнения обязательств по ликвидации последствий операций по разведке твердых полезных ископаемых предоставляется заявителем услугодателю посредством ЕПН "Minerals.gov.kz" не позднее 40 (сорока) рабочих дней со дня направления уведомления.</w:t>
      </w:r>
    </w:p>
    <w:bookmarkEnd w:id="53"/>
    <w:bookmarkStart w:name="z60" w:id="54"/>
    <w:p>
      <w:pPr>
        <w:spacing w:after="0"/>
        <w:ind w:left="0"/>
        <w:jc w:val="both"/>
      </w:pPr>
      <w:r>
        <w:rPr>
          <w:rFonts w:ascii="Times New Roman"/>
          <w:b w:val="false"/>
          <w:i w:val="false"/>
          <w:color w:val="000000"/>
          <w:sz w:val="28"/>
        </w:rPr>
        <w:t>
      Услугодатель выдает услугополучателю лицензию на разведку твердых полезных ископаемых не позднее 5 (пяти) рабочих дней со дня представления надлежащего обеспечения исполнения обязательств по ликвидации последствий операций по разведке твердых полезных ископаемых либо отказывает в ее выдаче по истечении 35 (тридцати пяти) рабочих дней со дня размещения уведомления на интернет-ресурсе услугодателя и в ЕПН "Minerals.gov.kz"</w:t>
      </w:r>
    </w:p>
    <w:bookmarkEnd w:id="54"/>
    <w:bookmarkStart w:name="z61" w:id="55"/>
    <w:p>
      <w:pPr>
        <w:spacing w:after="0"/>
        <w:ind w:left="0"/>
        <w:jc w:val="both"/>
      </w:pPr>
      <w:r>
        <w:rPr>
          <w:rFonts w:ascii="Times New Roman"/>
          <w:b w:val="false"/>
          <w:i w:val="false"/>
          <w:color w:val="000000"/>
          <w:sz w:val="28"/>
        </w:rPr>
        <w:t xml:space="preserve">
      15. Если к территории, указанной в заявлении, относится блок, предусмотренный </w:t>
      </w:r>
      <w:r>
        <w:rPr>
          <w:rFonts w:ascii="Times New Roman"/>
          <w:b w:val="false"/>
          <w:i w:val="false"/>
          <w:color w:val="000000"/>
          <w:sz w:val="28"/>
        </w:rPr>
        <w:t>пунктом 6</w:t>
      </w:r>
      <w:r>
        <w:rPr>
          <w:rFonts w:ascii="Times New Roman"/>
          <w:b w:val="false"/>
          <w:i w:val="false"/>
          <w:color w:val="000000"/>
          <w:sz w:val="28"/>
        </w:rPr>
        <w:t xml:space="preserve"> настоящих Правил, или блок, не имеющий общую сторону с другим блоком заявленной территории, такой блок не включается в лицензию, о чем услугодатель уведомляет услугополучателя посредством ЕПН "Minerals.gov.kz". В течение 5 (пяти) рабочих дней со дня получения уведомления услугополучатель отказывается от всех или части подлежащих предоставлению ему блоков. Если по истечении указанного срока услугополучатель не отказался от всех блоков или отказался от части блоков, заявление рассматривается по существу с учетом положений настоящего пункта.</w:t>
      </w:r>
    </w:p>
    <w:bookmarkEnd w:id="55"/>
    <w:bookmarkStart w:name="z62" w:id="56"/>
    <w:p>
      <w:pPr>
        <w:spacing w:after="0"/>
        <w:ind w:left="0"/>
        <w:jc w:val="both"/>
      </w:pPr>
      <w:r>
        <w:rPr>
          <w:rFonts w:ascii="Times New Roman"/>
          <w:b w:val="false"/>
          <w:i w:val="false"/>
          <w:color w:val="000000"/>
          <w:sz w:val="28"/>
        </w:rPr>
        <w:t>
      В уведомлении, направляемом в соответствии с частью первой настоящего пункта, указывается о выявленных несоответствиях заявленной территории требованиям Кодекса.</w:t>
      </w:r>
    </w:p>
    <w:bookmarkEnd w:id="56"/>
    <w:bookmarkStart w:name="z63" w:id="57"/>
    <w:p>
      <w:pPr>
        <w:spacing w:after="0"/>
        <w:ind w:left="0"/>
        <w:jc w:val="both"/>
      </w:pPr>
      <w:r>
        <w:rPr>
          <w:rFonts w:ascii="Times New Roman"/>
          <w:b w:val="false"/>
          <w:i w:val="false"/>
          <w:color w:val="000000"/>
          <w:sz w:val="28"/>
        </w:rPr>
        <w:t xml:space="preserve">
      Если какой-либо неполный (частичный) блок или неполные (частичные) блоки, указанные в заявлении, не отвечают условиям, предусмотренным в подпунктах 1), 2) и 3) </w:t>
      </w:r>
      <w:r>
        <w:rPr>
          <w:rFonts w:ascii="Times New Roman"/>
          <w:b w:val="false"/>
          <w:i w:val="false"/>
          <w:color w:val="000000"/>
          <w:sz w:val="28"/>
        </w:rPr>
        <w:t>пункта 7</w:t>
      </w:r>
      <w:r>
        <w:rPr>
          <w:rFonts w:ascii="Times New Roman"/>
          <w:b w:val="false"/>
          <w:i w:val="false"/>
          <w:color w:val="000000"/>
          <w:sz w:val="28"/>
        </w:rPr>
        <w:t xml:space="preserve"> настоящих Правил, данный блок (блоки) также не включается (включаются) в лицензию по правилам части первой </w:t>
      </w:r>
      <w:r>
        <w:rPr>
          <w:rFonts w:ascii="Times New Roman"/>
          <w:b w:val="false"/>
          <w:i w:val="false"/>
          <w:color w:val="000000"/>
          <w:sz w:val="28"/>
        </w:rPr>
        <w:t>статьи 188</w:t>
      </w:r>
      <w:r>
        <w:rPr>
          <w:rFonts w:ascii="Times New Roman"/>
          <w:b w:val="false"/>
          <w:i w:val="false"/>
          <w:color w:val="000000"/>
          <w:sz w:val="28"/>
        </w:rPr>
        <w:t xml:space="preserve"> Кодекса.</w:t>
      </w:r>
    </w:p>
    <w:bookmarkEnd w:id="57"/>
    <w:bookmarkStart w:name="z64" w:id="58"/>
    <w:p>
      <w:pPr>
        <w:spacing w:after="0"/>
        <w:ind w:left="0"/>
        <w:jc w:val="both"/>
      </w:pPr>
      <w:r>
        <w:rPr>
          <w:rFonts w:ascii="Times New Roman"/>
          <w:b w:val="false"/>
          <w:i w:val="false"/>
          <w:color w:val="000000"/>
          <w:sz w:val="28"/>
        </w:rPr>
        <w:t xml:space="preserve">
      16. В случае, предусмотренном </w:t>
      </w:r>
      <w:r>
        <w:rPr>
          <w:rFonts w:ascii="Times New Roman"/>
          <w:b w:val="false"/>
          <w:i w:val="false"/>
          <w:color w:val="000000"/>
          <w:sz w:val="28"/>
        </w:rPr>
        <w:t>пунктом 15</w:t>
      </w:r>
      <w:r>
        <w:rPr>
          <w:rFonts w:ascii="Times New Roman"/>
          <w:b w:val="false"/>
          <w:i w:val="false"/>
          <w:color w:val="000000"/>
          <w:sz w:val="28"/>
        </w:rPr>
        <w:t xml:space="preserve"> настоящих Правил, заявление рассматривается в отношении блоков, указанных в заявлении, за исключением блоков, не подлежащих включению в лицензию, и блоков, от которых заявитель отказался.</w:t>
      </w:r>
    </w:p>
    <w:bookmarkEnd w:id="58"/>
    <w:bookmarkStart w:name="z65" w:id="59"/>
    <w:p>
      <w:pPr>
        <w:spacing w:after="0"/>
        <w:ind w:left="0"/>
        <w:jc w:val="both"/>
      </w:pPr>
      <w:r>
        <w:rPr>
          <w:rFonts w:ascii="Times New Roman"/>
          <w:b w:val="false"/>
          <w:i w:val="false"/>
          <w:color w:val="000000"/>
          <w:sz w:val="28"/>
        </w:rPr>
        <w:t xml:space="preserve">
      17. Если в результате применения положений </w:t>
      </w:r>
      <w:r>
        <w:rPr>
          <w:rFonts w:ascii="Times New Roman"/>
          <w:b w:val="false"/>
          <w:i w:val="false"/>
          <w:color w:val="000000"/>
          <w:sz w:val="28"/>
        </w:rPr>
        <w:t>пунктов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блоки формируют два и более подлежащих предоставлению в пользование раздельных участка недр, которые соответствуют требованиям </w:t>
      </w:r>
      <w:r>
        <w:rPr>
          <w:rFonts w:ascii="Times New Roman"/>
          <w:b w:val="false"/>
          <w:i w:val="false"/>
          <w:color w:val="000000"/>
          <w:sz w:val="28"/>
        </w:rPr>
        <w:t>пункта 2</w:t>
      </w:r>
      <w:r>
        <w:rPr>
          <w:rFonts w:ascii="Times New Roman"/>
          <w:b w:val="false"/>
          <w:i w:val="false"/>
          <w:color w:val="000000"/>
          <w:sz w:val="28"/>
        </w:rPr>
        <w:t xml:space="preserve"> статьи 19 Кодекса, услугодатель выдает отдельные лицензии на каждый из таких участков недр. В этом случае дополнительный сбор за выдачу лицензии не взимается.</w:t>
      </w:r>
    </w:p>
    <w:bookmarkEnd w:id="59"/>
    <w:bookmarkStart w:name="z66" w:id="60"/>
    <w:p>
      <w:pPr>
        <w:spacing w:after="0"/>
        <w:ind w:left="0"/>
        <w:jc w:val="both"/>
      </w:pPr>
      <w:r>
        <w:rPr>
          <w:rFonts w:ascii="Times New Roman"/>
          <w:b w:val="false"/>
          <w:i w:val="false"/>
          <w:color w:val="000000"/>
          <w:sz w:val="28"/>
        </w:rPr>
        <w:t>
      Блоки, не имеющие общую сторону с любым из блоков, указанных в части первой настоящего пункта, не принимаются во внимание услугодателем при рассмотрении заявления на выдачу лицензии.</w:t>
      </w:r>
    </w:p>
    <w:bookmarkEnd w:id="60"/>
    <w:bookmarkStart w:name="z67" w:id="61"/>
    <w:p>
      <w:pPr>
        <w:spacing w:after="0"/>
        <w:ind w:left="0"/>
        <w:jc w:val="both"/>
      </w:pPr>
      <w:r>
        <w:rPr>
          <w:rFonts w:ascii="Times New Roman"/>
          <w:b w:val="false"/>
          <w:i w:val="false"/>
          <w:color w:val="000000"/>
          <w:sz w:val="28"/>
        </w:rPr>
        <w:t xml:space="preserve">
      18. Если блок, указанный в заявлении на выдачу лицензии, является неполным, такой неполный блок подлежит включению в выдаваемую лицензию при условии, что это не противоречит положениям </w:t>
      </w:r>
      <w:r>
        <w:rPr>
          <w:rFonts w:ascii="Times New Roman"/>
          <w:b w:val="false"/>
          <w:i w:val="false"/>
          <w:color w:val="000000"/>
          <w:sz w:val="28"/>
        </w:rPr>
        <w:t>главы 27</w:t>
      </w:r>
      <w:r>
        <w:rPr>
          <w:rFonts w:ascii="Times New Roman"/>
          <w:b w:val="false"/>
          <w:i w:val="false"/>
          <w:color w:val="000000"/>
          <w:sz w:val="28"/>
        </w:rPr>
        <w:t xml:space="preserve"> Кодекса.</w:t>
      </w:r>
    </w:p>
    <w:bookmarkEnd w:id="61"/>
    <w:bookmarkStart w:name="z68" w:id="62"/>
    <w:p>
      <w:pPr>
        <w:spacing w:after="0"/>
        <w:ind w:left="0"/>
        <w:jc w:val="both"/>
      </w:pPr>
      <w:r>
        <w:rPr>
          <w:rFonts w:ascii="Times New Roman"/>
          <w:b w:val="false"/>
          <w:i w:val="false"/>
          <w:color w:val="000000"/>
          <w:sz w:val="28"/>
        </w:rPr>
        <w:t>
      Если выданная лицензия на разведку твердых полезных ископаемых включает неполный (частичный) блок, для целей исчисления количества блоков данный блок рассматривается полным.</w:t>
      </w:r>
    </w:p>
    <w:bookmarkEnd w:id="62"/>
    <w:bookmarkStart w:name="z69" w:id="63"/>
    <w:p>
      <w:pPr>
        <w:spacing w:after="0"/>
        <w:ind w:left="0"/>
        <w:jc w:val="both"/>
      </w:pPr>
      <w:r>
        <w:rPr>
          <w:rFonts w:ascii="Times New Roman"/>
          <w:b w:val="false"/>
          <w:i w:val="false"/>
          <w:color w:val="000000"/>
          <w:sz w:val="28"/>
        </w:rPr>
        <w:t>
      19. Заявления на выдачу лицензий на разведку твердых полезных ископаемых, включающие один и тот же блок, рассматриваются услугодателем в порядке очередности их поступления.</w:t>
      </w:r>
    </w:p>
    <w:bookmarkEnd w:id="63"/>
    <w:bookmarkStart w:name="z70" w:id="64"/>
    <w:p>
      <w:pPr>
        <w:spacing w:after="0"/>
        <w:ind w:left="0"/>
        <w:jc w:val="both"/>
      </w:pPr>
      <w:r>
        <w:rPr>
          <w:rFonts w:ascii="Times New Roman"/>
          <w:b w:val="false"/>
          <w:i w:val="false"/>
          <w:color w:val="000000"/>
          <w:sz w:val="28"/>
        </w:rPr>
        <w:t xml:space="preserve">
      20. Заявления на выдачу лицензий на разведку твердых полезных ископаемых в пределах территорий, впервые включаемых в программу управления государственным фондом недр, поступившие в течение месяца со дня начала их приема, рассматриваются без учета положений, предусмотренных </w:t>
      </w:r>
      <w:r>
        <w:rPr>
          <w:rFonts w:ascii="Times New Roman"/>
          <w:b w:val="false"/>
          <w:i w:val="false"/>
          <w:color w:val="000000"/>
          <w:sz w:val="28"/>
        </w:rPr>
        <w:t>пунктами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настоящих Правил, и считаются имеющими одинаковую приоритетность.</w:t>
      </w:r>
    </w:p>
    <w:bookmarkEnd w:id="64"/>
    <w:bookmarkStart w:name="z71" w:id="65"/>
    <w:p>
      <w:pPr>
        <w:spacing w:after="0"/>
        <w:ind w:left="0"/>
        <w:jc w:val="both"/>
      </w:pPr>
      <w:r>
        <w:rPr>
          <w:rFonts w:ascii="Times New Roman"/>
          <w:b w:val="false"/>
          <w:i w:val="false"/>
          <w:color w:val="000000"/>
          <w:sz w:val="28"/>
        </w:rPr>
        <w:t xml:space="preserve">
      В случае отсутствия совпадающих блоков, Услугодатель не позднее 20 (двадцати) рабочих дней после даты окончания приема заявлений, указанных в части первой настоящего пункта, направляет услугополучателю уведомление о необходимости предоставления обеспечения исполнения обязательств по ликвидации последствий операций по разведке твердых полезных ископаемых, предусмотренного </w:t>
      </w:r>
      <w:r>
        <w:rPr>
          <w:rFonts w:ascii="Times New Roman"/>
          <w:b w:val="false"/>
          <w:i w:val="false"/>
          <w:color w:val="000000"/>
          <w:sz w:val="28"/>
        </w:rPr>
        <w:t>статьей 198</w:t>
      </w:r>
      <w:r>
        <w:rPr>
          <w:rFonts w:ascii="Times New Roman"/>
          <w:b w:val="false"/>
          <w:i w:val="false"/>
          <w:color w:val="000000"/>
          <w:sz w:val="28"/>
        </w:rPr>
        <w:t xml:space="preserve"> Кодекса, в соответствии с </w:t>
      </w:r>
      <w:r>
        <w:rPr>
          <w:rFonts w:ascii="Times New Roman"/>
          <w:b w:val="false"/>
          <w:i w:val="false"/>
          <w:color w:val="000000"/>
          <w:sz w:val="28"/>
        </w:rPr>
        <w:t>пунктами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настоящих Правил.</w:t>
      </w:r>
    </w:p>
    <w:bookmarkEnd w:id="65"/>
    <w:bookmarkStart w:name="z72" w:id="66"/>
    <w:p>
      <w:pPr>
        <w:spacing w:after="0"/>
        <w:ind w:left="0"/>
        <w:jc w:val="both"/>
      </w:pPr>
      <w:r>
        <w:rPr>
          <w:rFonts w:ascii="Times New Roman"/>
          <w:b w:val="false"/>
          <w:i w:val="false"/>
          <w:color w:val="000000"/>
          <w:sz w:val="28"/>
        </w:rPr>
        <w:t>
      Услугодатель выдает услугополучателю лицензию на разведку твердых полезных ископаемых не позднее 5 (пяти) рабочих дней со дня представления надлежащего обеспечения исполнения обязательств по ликвидации последствий операций по разведке твердых полезных ископаемых либо отказывает в ее выдаче по истечении 35 (тридцати пяти) рабочих дней со дня размещения уведомления на интернет-ресурсе услугодателя и в ЕПН "Minerals.gov.kz".</w:t>
      </w:r>
    </w:p>
    <w:bookmarkEnd w:id="66"/>
    <w:bookmarkStart w:name="z73" w:id="67"/>
    <w:p>
      <w:pPr>
        <w:spacing w:after="0"/>
        <w:ind w:left="0"/>
        <w:jc w:val="both"/>
      </w:pPr>
      <w:r>
        <w:rPr>
          <w:rFonts w:ascii="Times New Roman"/>
          <w:b w:val="false"/>
          <w:i w:val="false"/>
          <w:color w:val="000000"/>
          <w:sz w:val="28"/>
        </w:rPr>
        <w:t xml:space="preserve">
      Если в результате рассмотрения заявлений, поступивших в течение срока, предусмотренного частью второй настоящего пункта, будет установлено, что один и тот же блок (блоки) включен в несколько заявлений, по которым не принято решение об отказе в выдаче лицензии, по данному блоку (блокам) среди услугополучателей проводится аукцион в порядке и сроки, определяемые услугодателем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части второй пункта 6 статьи 278 Кодекса.</w:t>
      </w:r>
    </w:p>
    <w:bookmarkEnd w:id="67"/>
    <w:bookmarkStart w:name="z74" w:id="68"/>
    <w:p>
      <w:pPr>
        <w:spacing w:after="0"/>
        <w:ind w:left="0"/>
        <w:jc w:val="both"/>
      </w:pPr>
      <w:r>
        <w:rPr>
          <w:rFonts w:ascii="Times New Roman"/>
          <w:b w:val="false"/>
          <w:i w:val="false"/>
          <w:color w:val="000000"/>
          <w:sz w:val="28"/>
        </w:rPr>
        <w:t xml:space="preserve">
      21. Услугодатель не позднее 20 (двадцати) рабочих дней после даты окончания приема заявлений, указанных в </w:t>
      </w:r>
      <w:r>
        <w:rPr>
          <w:rFonts w:ascii="Times New Roman"/>
          <w:b w:val="false"/>
          <w:i w:val="false"/>
          <w:color w:val="000000"/>
          <w:sz w:val="28"/>
        </w:rPr>
        <w:t>пункте 20</w:t>
      </w:r>
      <w:r>
        <w:rPr>
          <w:rFonts w:ascii="Times New Roman"/>
          <w:b w:val="false"/>
          <w:i w:val="false"/>
          <w:color w:val="000000"/>
          <w:sz w:val="28"/>
        </w:rPr>
        <w:t xml:space="preserve"> настоящих Правил, определяет блоки, по которым подано более одного заявления, и направляет соответствующим услугополучателям уведомление о совпадающих блоках.</w:t>
      </w:r>
    </w:p>
    <w:bookmarkEnd w:id="68"/>
    <w:bookmarkStart w:name="z75" w:id="69"/>
    <w:p>
      <w:pPr>
        <w:spacing w:after="0"/>
        <w:ind w:left="0"/>
        <w:jc w:val="both"/>
      </w:pPr>
      <w:r>
        <w:rPr>
          <w:rFonts w:ascii="Times New Roman"/>
          <w:b w:val="false"/>
          <w:i w:val="false"/>
          <w:color w:val="000000"/>
          <w:sz w:val="28"/>
        </w:rPr>
        <w:t>
      Уведомление заявителю о совпадающих блоках и приглашение на участие в аукционе направляется услугодателем на электронный адрес услугополучателя, указанный им в своем заявлении на лицензию. Указанное уведомление должно также содержать точные сведения о веб-портале реестра, на котором будет опубликовано извещение о проведении аукциона, коды блоков услугополучателя, приоритет по которым подлежит определению по итогам аукциона, и ссылку на инструкцию для регистрации в качестве участника аукциона.</w:t>
      </w:r>
    </w:p>
    <w:bookmarkEnd w:id="69"/>
    <w:bookmarkStart w:name="z76" w:id="70"/>
    <w:p>
      <w:pPr>
        <w:spacing w:after="0"/>
        <w:ind w:left="0"/>
        <w:jc w:val="both"/>
      </w:pPr>
      <w:r>
        <w:rPr>
          <w:rFonts w:ascii="Times New Roman"/>
          <w:b w:val="false"/>
          <w:i w:val="false"/>
          <w:color w:val="000000"/>
          <w:sz w:val="28"/>
        </w:rPr>
        <w:t xml:space="preserve">
      22. Извещение о проведении аукциона публикуется услугодателем на веб-портале реестра на государственном и русском языках не позднее чем через 10 (десять) рабочих дней после направления уведомления в соответствии с </w:t>
      </w:r>
      <w:r>
        <w:rPr>
          <w:rFonts w:ascii="Times New Roman"/>
          <w:b w:val="false"/>
          <w:i w:val="false"/>
          <w:color w:val="000000"/>
          <w:sz w:val="28"/>
        </w:rPr>
        <w:t>пунктом 21</w:t>
      </w:r>
      <w:r>
        <w:rPr>
          <w:rFonts w:ascii="Times New Roman"/>
          <w:b w:val="false"/>
          <w:i w:val="false"/>
          <w:color w:val="000000"/>
          <w:sz w:val="28"/>
        </w:rPr>
        <w:t xml:space="preserve"> настоящих Правил.</w:t>
      </w:r>
    </w:p>
    <w:bookmarkEnd w:id="70"/>
    <w:bookmarkStart w:name="z77" w:id="71"/>
    <w:p>
      <w:pPr>
        <w:spacing w:after="0"/>
        <w:ind w:left="0"/>
        <w:jc w:val="both"/>
      </w:pPr>
      <w:r>
        <w:rPr>
          <w:rFonts w:ascii="Times New Roman"/>
          <w:b w:val="false"/>
          <w:i w:val="false"/>
          <w:color w:val="000000"/>
          <w:sz w:val="28"/>
        </w:rPr>
        <w:t>
      23. Аукцион проводится не ранее чем через 10 (десять) рабочих дней, но не позднее 15 (пятнадцати) рабочих дней со дня публикации извещения о проведении аукциона.</w:t>
      </w:r>
    </w:p>
    <w:bookmarkEnd w:id="71"/>
    <w:bookmarkStart w:name="z78" w:id="72"/>
    <w:p>
      <w:pPr>
        <w:spacing w:after="0"/>
        <w:ind w:left="0"/>
        <w:jc w:val="both"/>
      </w:pPr>
      <w:r>
        <w:rPr>
          <w:rFonts w:ascii="Times New Roman"/>
          <w:b w:val="false"/>
          <w:i w:val="false"/>
          <w:color w:val="000000"/>
          <w:sz w:val="28"/>
        </w:rPr>
        <w:t>
      24. Торги по объекту ведутся до максимально подтвержденного размера подписного бонуса одним из участников. Аукцион, в котором зарегистрировался только один участник, признается состоявшимся, если участник подтвердил стартовый размер подписного бонуса.</w:t>
      </w:r>
    </w:p>
    <w:bookmarkEnd w:id="72"/>
    <w:bookmarkStart w:name="z79" w:id="73"/>
    <w:p>
      <w:pPr>
        <w:spacing w:after="0"/>
        <w:ind w:left="0"/>
        <w:jc w:val="both"/>
      </w:pPr>
      <w:r>
        <w:rPr>
          <w:rFonts w:ascii="Times New Roman"/>
          <w:b w:val="false"/>
          <w:i w:val="false"/>
          <w:color w:val="000000"/>
          <w:sz w:val="28"/>
        </w:rPr>
        <w:t>
      Итоги аукциона по каждому проданному объекту оформляются протоколом об итогах аукциона, который подписывается на веб-портале реестра компетентным органом с использованием электронной цифровой подписи в день проведения аукциона.</w:t>
      </w:r>
    </w:p>
    <w:bookmarkEnd w:id="73"/>
    <w:bookmarkStart w:name="z80" w:id="74"/>
    <w:p>
      <w:pPr>
        <w:spacing w:after="0"/>
        <w:ind w:left="0"/>
        <w:jc w:val="both"/>
      </w:pPr>
      <w:r>
        <w:rPr>
          <w:rFonts w:ascii="Times New Roman"/>
          <w:b w:val="false"/>
          <w:i w:val="false"/>
          <w:color w:val="000000"/>
          <w:sz w:val="28"/>
        </w:rPr>
        <w:t>
      Протокол об итогах аукциона является документом, фиксирующим итоги аукциона и обязательства по оплате размера подписного бонуса, подтвержденного участником.</w:t>
      </w:r>
    </w:p>
    <w:bookmarkEnd w:id="74"/>
    <w:bookmarkStart w:name="z81" w:id="75"/>
    <w:p>
      <w:pPr>
        <w:spacing w:after="0"/>
        <w:ind w:left="0"/>
        <w:jc w:val="both"/>
      </w:pPr>
      <w:r>
        <w:rPr>
          <w:rFonts w:ascii="Times New Roman"/>
          <w:b w:val="false"/>
          <w:i w:val="false"/>
          <w:color w:val="000000"/>
          <w:sz w:val="28"/>
        </w:rPr>
        <w:t>
      25. По итогам аукциона приоритет на включение блока (блоков) в лицензию предоставляется победителю аукциона согласно поданному им заявлению на лицензию.</w:t>
      </w:r>
    </w:p>
    <w:bookmarkEnd w:id="75"/>
    <w:bookmarkStart w:name="z82" w:id="76"/>
    <w:p>
      <w:pPr>
        <w:spacing w:after="0"/>
        <w:ind w:left="0"/>
        <w:jc w:val="both"/>
      </w:pPr>
      <w:r>
        <w:rPr>
          <w:rFonts w:ascii="Times New Roman"/>
          <w:b w:val="false"/>
          <w:i w:val="false"/>
          <w:color w:val="000000"/>
          <w:sz w:val="28"/>
        </w:rPr>
        <w:t>
      Победителем аукциона (торгов) признается участник, подтвердивший максимальный размер подписного бонуса.</w:t>
      </w:r>
    </w:p>
    <w:bookmarkEnd w:id="76"/>
    <w:bookmarkStart w:name="z83" w:id="77"/>
    <w:p>
      <w:pPr>
        <w:spacing w:after="0"/>
        <w:ind w:left="0"/>
        <w:jc w:val="both"/>
      </w:pPr>
      <w:r>
        <w:rPr>
          <w:rFonts w:ascii="Times New Roman"/>
          <w:b w:val="false"/>
          <w:i w:val="false"/>
          <w:color w:val="000000"/>
          <w:sz w:val="28"/>
        </w:rPr>
        <w:t>
      Подписной бонус подлежит уплате победителем не позднее двадцати рабочих дней со дня подписания протокола об итогах аукциона.</w:t>
      </w:r>
    </w:p>
    <w:bookmarkEnd w:id="77"/>
    <w:bookmarkStart w:name="z84" w:id="78"/>
    <w:p>
      <w:pPr>
        <w:spacing w:after="0"/>
        <w:ind w:left="0"/>
        <w:jc w:val="both"/>
      </w:pPr>
      <w:r>
        <w:rPr>
          <w:rFonts w:ascii="Times New Roman"/>
          <w:b w:val="false"/>
          <w:i w:val="false"/>
          <w:color w:val="000000"/>
          <w:sz w:val="28"/>
        </w:rPr>
        <w:t xml:space="preserve">
      26. В случае неуплаты подписного бонуса в соответствии с </w:t>
      </w:r>
      <w:r>
        <w:rPr>
          <w:rFonts w:ascii="Times New Roman"/>
          <w:b w:val="false"/>
          <w:i w:val="false"/>
          <w:color w:val="000000"/>
          <w:sz w:val="28"/>
        </w:rPr>
        <w:t>пунктом 25</w:t>
      </w:r>
      <w:r>
        <w:rPr>
          <w:rFonts w:ascii="Times New Roman"/>
          <w:b w:val="false"/>
          <w:i w:val="false"/>
          <w:color w:val="000000"/>
          <w:sz w:val="28"/>
        </w:rPr>
        <w:t xml:space="preserve"> настоящих Правил, победителем будет считаться каждый последующий участник в порядке очередности согласно реестру итогов аукциона с учетом подтвержденного им размера подписного бонуса. К следующему участнику также переходит приоритет на включение блоков (блоков) в лицензию согласно поданному им заявлению на лицензию. В этом случае подписной бонус подлежит уплате в течение десяти рабочих дней со дня истечения срока уплаты подписного бонуса для предыдущего участника аукциона, утратившего статус победителя.</w:t>
      </w:r>
    </w:p>
    <w:bookmarkEnd w:id="78"/>
    <w:bookmarkStart w:name="z85" w:id="79"/>
    <w:p>
      <w:pPr>
        <w:spacing w:after="0"/>
        <w:ind w:left="0"/>
        <w:jc w:val="both"/>
      </w:pPr>
      <w:r>
        <w:rPr>
          <w:rFonts w:ascii="Times New Roman"/>
          <w:b w:val="false"/>
          <w:i w:val="false"/>
          <w:color w:val="000000"/>
          <w:sz w:val="28"/>
        </w:rPr>
        <w:t>
      В случае неуплаты подписного бонуса ни одним из участников компетентный орган с ЭЦП на веб-портале реестра подписывает акт об отмене результатов аукциона.</w:t>
      </w:r>
    </w:p>
    <w:bookmarkEnd w:id="79"/>
    <w:bookmarkStart w:name="z86" w:id="80"/>
    <w:p>
      <w:pPr>
        <w:spacing w:after="0"/>
        <w:ind w:left="0"/>
        <w:jc w:val="both"/>
      </w:pPr>
      <w:r>
        <w:rPr>
          <w:rFonts w:ascii="Times New Roman"/>
          <w:b w:val="false"/>
          <w:i w:val="false"/>
          <w:color w:val="000000"/>
          <w:sz w:val="28"/>
        </w:rPr>
        <w:t>
      27. Услугодатель выдает услугополучателю лицензию на разведку твердых полезных ископаемых не позднее 5 (пяти) рабочих дней со дня уплаты размера подписного бонуса либо отказывает в ее выдаче по истечении 5 (пяти) рабочих дней.</w:t>
      </w:r>
    </w:p>
    <w:bookmarkEnd w:id="80"/>
    <w:bookmarkStart w:name="z87" w:id="81"/>
    <w:p>
      <w:pPr>
        <w:spacing w:after="0"/>
        <w:ind w:left="0"/>
        <w:jc w:val="both"/>
      </w:pPr>
      <w:r>
        <w:rPr>
          <w:rFonts w:ascii="Times New Roman"/>
          <w:b w:val="false"/>
          <w:i w:val="false"/>
          <w:color w:val="000000"/>
          <w:sz w:val="28"/>
        </w:rPr>
        <w:t xml:space="preserve">
      28.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w:t>
      </w:r>
    </w:p>
    <w:bookmarkEnd w:id="81"/>
    <w:bookmarkStart w:name="z88" w:id="82"/>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82"/>
    <w:bookmarkStart w:name="z89" w:id="83"/>
    <w:p>
      <w:pPr>
        <w:spacing w:after="0"/>
        <w:ind w:left="0"/>
        <w:jc w:val="both"/>
      </w:pPr>
      <w:r>
        <w:rPr>
          <w:rFonts w:ascii="Times New Roman"/>
          <w:b w:val="false"/>
          <w:i w:val="false"/>
          <w:color w:val="000000"/>
          <w:sz w:val="28"/>
        </w:rPr>
        <w:t>
      По результатам заслушивания услугодатель оформляет положительный результат либо мотивированный отказ в оказании государственной услуги.</w:t>
      </w:r>
    </w:p>
    <w:bookmarkEnd w:id="83"/>
    <w:bookmarkStart w:name="z90" w:id="84"/>
    <w:p>
      <w:pPr>
        <w:spacing w:after="0"/>
        <w:ind w:left="0"/>
        <w:jc w:val="both"/>
      </w:pPr>
      <w:r>
        <w:rPr>
          <w:rFonts w:ascii="Times New Roman"/>
          <w:b w:val="false"/>
          <w:i w:val="false"/>
          <w:color w:val="000000"/>
          <w:sz w:val="28"/>
        </w:rPr>
        <w:t>
      29. Результатом оказания государственной услуги является выдача лицензии на разведку твердых полезных ископаемых либо мотивированный отказ.</w:t>
      </w:r>
    </w:p>
    <w:bookmarkEnd w:id="84"/>
    <w:bookmarkStart w:name="z91" w:id="85"/>
    <w:p>
      <w:pPr>
        <w:spacing w:after="0"/>
        <w:ind w:left="0"/>
        <w:jc w:val="both"/>
      </w:pPr>
      <w:r>
        <w:rPr>
          <w:rFonts w:ascii="Times New Roman"/>
          <w:b w:val="false"/>
          <w:i w:val="false"/>
          <w:color w:val="000000"/>
          <w:sz w:val="28"/>
        </w:rPr>
        <w:t>
      30. Результат оказания государственной услуги направляется в личный кабинет ЕПН "Minerals.gov.kz" услугополучателя.</w:t>
      </w:r>
    </w:p>
    <w:bookmarkEnd w:id="85"/>
    <w:bookmarkStart w:name="z92" w:id="86"/>
    <w:p>
      <w:pPr>
        <w:spacing w:after="0"/>
        <w:ind w:left="0"/>
        <w:jc w:val="both"/>
      </w:pPr>
      <w:r>
        <w:rPr>
          <w:rFonts w:ascii="Times New Roman"/>
          <w:b w:val="false"/>
          <w:i w:val="false"/>
          <w:color w:val="000000"/>
          <w:sz w:val="28"/>
        </w:rPr>
        <w:t>
      31. Наличие грамматических или арифметических ошибок, опечаток в сведениях, указанных в заявлении (кроме сведений о блоке (блоках), которые не влияют на принятие решения о выдаче лицензии по существу и выявляются, а также проверяются путем сверки с прилагаемыми к заявлению документами, не является основанием для отказа в выдаче лицензии.</w:t>
      </w:r>
    </w:p>
    <w:bookmarkEnd w:id="86"/>
    <w:bookmarkStart w:name="z93" w:id="87"/>
    <w:p>
      <w:pPr>
        <w:spacing w:after="0"/>
        <w:ind w:left="0"/>
        <w:jc w:val="both"/>
      </w:pPr>
      <w:r>
        <w:rPr>
          <w:rFonts w:ascii="Times New Roman"/>
          <w:b w:val="false"/>
          <w:i w:val="false"/>
          <w:color w:val="000000"/>
          <w:sz w:val="28"/>
        </w:rPr>
        <w:t xml:space="preserve">
      32. Отказ в соответствии с подпунктом 9) пункта 9 </w:t>
      </w:r>
      <w:r>
        <w:rPr>
          <w:rFonts w:ascii="Times New Roman"/>
          <w:b w:val="false"/>
          <w:i w:val="false"/>
          <w:color w:val="000000"/>
          <w:sz w:val="28"/>
        </w:rPr>
        <w:t>приложения</w:t>
      </w:r>
      <w:r>
        <w:rPr>
          <w:rFonts w:ascii="Times New Roman"/>
          <w:b w:val="false"/>
          <w:i w:val="false"/>
          <w:color w:val="000000"/>
          <w:sz w:val="28"/>
        </w:rPr>
        <w:t xml:space="preserve"> к настоящим Правилам выносится без указания причин, послуживших основанием для такого отказа.</w:t>
      </w:r>
    </w:p>
    <w:bookmarkEnd w:id="87"/>
    <w:bookmarkStart w:name="z94" w:id="88"/>
    <w:p>
      <w:pPr>
        <w:spacing w:after="0"/>
        <w:ind w:left="0"/>
        <w:jc w:val="both"/>
      </w:pPr>
      <w:r>
        <w:rPr>
          <w:rFonts w:ascii="Times New Roman"/>
          <w:b w:val="false"/>
          <w:i w:val="false"/>
          <w:color w:val="000000"/>
          <w:sz w:val="28"/>
        </w:rPr>
        <w:t>
      33. Отказ в выдаче лицензии не лишает услугополучателя права на повторную подачу заявления.</w:t>
      </w:r>
    </w:p>
    <w:bookmarkEnd w:id="88"/>
    <w:bookmarkStart w:name="z95" w:id="89"/>
    <w:p>
      <w:pPr>
        <w:spacing w:after="0"/>
        <w:ind w:left="0"/>
        <w:jc w:val="both"/>
      </w:pPr>
      <w:r>
        <w:rPr>
          <w:rFonts w:ascii="Times New Roman"/>
          <w:b w:val="false"/>
          <w:i w:val="false"/>
          <w:color w:val="000000"/>
          <w:sz w:val="28"/>
        </w:rPr>
        <w:t>
      34. По заявлению на выдачу лицензии на разведку твердых полезных ископаемых, включающему только блоки, которые к моменту рассмотрения данного заявления уже включены в другую лицензию на разведку твердых полезных ископаемых, принимается решение об отказе в выдаче лицензии.</w:t>
      </w:r>
    </w:p>
    <w:bookmarkEnd w:id="89"/>
    <w:bookmarkStart w:name="z96" w:id="90"/>
    <w:p>
      <w:pPr>
        <w:spacing w:after="0"/>
        <w:ind w:left="0"/>
        <w:jc w:val="both"/>
      </w:pPr>
      <w:r>
        <w:rPr>
          <w:rFonts w:ascii="Times New Roman"/>
          <w:b w:val="false"/>
          <w:i w:val="false"/>
          <w:color w:val="000000"/>
          <w:sz w:val="28"/>
        </w:rPr>
        <w:t>
      35. Очередное заявление рассматривается только после отказа в выдаче лицензии по предыдущему рассмотренному заявлению.</w:t>
      </w:r>
    </w:p>
    <w:bookmarkEnd w:id="90"/>
    <w:bookmarkStart w:name="z97" w:id="91"/>
    <w:p>
      <w:pPr>
        <w:spacing w:after="0"/>
        <w:ind w:left="0"/>
        <w:jc w:val="both"/>
      </w:pPr>
      <w:r>
        <w:rPr>
          <w:rFonts w:ascii="Times New Roman"/>
          <w:b w:val="false"/>
          <w:i w:val="false"/>
          <w:color w:val="000000"/>
          <w:sz w:val="28"/>
        </w:rPr>
        <w:t>
      Услугодатель приступает к рассмотрению очередного заявления по истечении 10 (десяти) рабочих дней со дня уведомления заявителя посредством ЕПН "Minerals.gov.kz" об отказе в выдаче лицензии по предыдущему заявлению.</w:t>
      </w:r>
    </w:p>
    <w:bookmarkEnd w:id="91"/>
    <w:bookmarkStart w:name="z98" w:id="92"/>
    <w:p>
      <w:pPr>
        <w:spacing w:after="0"/>
        <w:ind w:left="0"/>
        <w:jc w:val="both"/>
      </w:pPr>
      <w:r>
        <w:rPr>
          <w:rFonts w:ascii="Times New Roman"/>
          <w:b w:val="false"/>
          <w:i w:val="false"/>
          <w:color w:val="000000"/>
          <w:sz w:val="28"/>
        </w:rPr>
        <w:t>
      Если решение об отказе было обжаловано услугополучателем в суд, вопрос о рассмотрении очередного заявления решается услугодателем после вступления в силу решения суда по результатам рассмотрения жалобы.</w:t>
      </w:r>
    </w:p>
    <w:bookmarkEnd w:id="92"/>
    <w:bookmarkStart w:name="z99" w:id="93"/>
    <w:p>
      <w:pPr>
        <w:spacing w:after="0"/>
        <w:ind w:left="0"/>
        <w:jc w:val="both"/>
      </w:pPr>
      <w:r>
        <w:rPr>
          <w:rFonts w:ascii="Times New Roman"/>
          <w:b w:val="false"/>
          <w:i w:val="false"/>
          <w:color w:val="000000"/>
          <w:sz w:val="28"/>
        </w:rPr>
        <w:t xml:space="preserve">
      36.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93"/>
    <w:bookmarkStart w:name="z100" w:id="94"/>
    <w:p>
      <w:pPr>
        <w:spacing w:after="0"/>
        <w:ind w:left="0"/>
        <w:jc w:val="both"/>
      </w:pPr>
      <w:r>
        <w:rPr>
          <w:rFonts w:ascii="Times New Roman"/>
          <w:b w:val="false"/>
          <w:i w:val="false"/>
          <w:color w:val="000000"/>
          <w:sz w:val="28"/>
        </w:rPr>
        <w:t>
      37. Уполномоченный орган в области твердых полезных ископаемых в течение 3 (трех) рабочих дней с даты утверждения или изменения подзаконного нормативного правового акта, определяющего порядок оказания государственной услуги, актуализируют информацию о порядке ее оказания и направляет в Единый контакт-центр.</w:t>
      </w:r>
    </w:p>
    <w:bookmarkEnd w:id="94"/>
    <w:bookmarkStart w:name="z101" w:id="95"/>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по вопросам оказания государственных услуг</w:t>
      </w:r>
    </w:p>
    <w:bookmarkEnd w:id="95"/>
    <w:bookmarkStart w:name="z102" w:id="96"/>
    <w:p>
      <w:pPr>
        <w:spacing w:after="0"/>
        <w:ind w:left="0"/>
        <w:jc w:val="both"/>
      </w:pPr>
      <w:r>
        <w:rPr>
          <w:rFonts w:ascii="Times New Roman"/>
          <w:b w:val="false"/>
          <w:i w:val="false"/>
          <w:color w:val="000000"/>
          <w:sz w:val="28"/>
        </w:rPr>
        <w:t>
      38. Жалоба на решение, действий (бездействий)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96"/>
    <w:bookmarkStart w:name="z103" w:id="97"/>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bookmarkEnd w:id="97"/>
    <w:bookmarkStart w:name="z104" w:id="98"/>
    <w:p>
      <w:pPr>
        <w:spacing w:after="0"/>
        <w:ind w:left="0"/>
        <w:jc w:val="both"/>
      </w:pPr>
      <w:r>
        <w:rPr>
          <w:rFonts w:ascii="Times New Roman"/>
          <w:b w:val="false"/>
          <w:i w:val="false"/>
          <w:color w:val="000000"/>
          <w:sz w:val="28"/>
        </w:rPr>
        <w:t>
      Жалобы подаются услугодателю и (или) должностному лицу, чье решение, действие (бездействие) обжалуются.</w:t>
      </w:r>
    </w:p>
    <w:bookmarkEnd w:id="98"/>
    <w:bookmarkStart w:name="z105" w:id="99"/>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bookmarkEnd w:id="99"/>
    <w:bookmarkStart w:name="z106" w:id="100"/>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удовлетворяющее требованиям, указанным в жалобе.</w:t>
      </w:r>
    </w:p>
    <w:bookmarkEnd w:id="100"/>
    <w:bookmarkStart w:name="z107" w:id="101"/>
    <w:p>
      <w:pPr>
        <w:spacing w:after="0"/>
        <w:ind w:left="0"/>
        <w:jc w:val="both"/>
      </w:pPr>
      <w:r>
        <w:rPr>
          <w:rFonts w:ascii="Times New Roman"/>
          <w:b w:val="false"/>
          <w:i w:val="false"/>
          <w:color w:val="000000"/>
          <w:sz w:val="28"/>
        </w:rPr>
        <w:t xml:space="preserve">
      Жалоба услугополучателя, поступившая в адрес уполномоченного органа,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101"/>
    <w:bookmarkStart w:name="z108" w:id="102"/>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bookmarkEnd w:id="102"/>
    <w:bookmarkStart w:name="z109" w:id="103"/>
    <w:p>
      <w:pPr>
        <w:spacing w:after="0"/>
        <w:ind w:left="0"/>
        <w:jc w:val="both"/>
      </w:pPr>
      <w:r>
        <w:rPr>
          <w:rFonts w:ascii="Times New Roman"/>
          <w:b w:val="false"/>
          <w:i w:val="false"/>
          <w:color w:val="000000"/>
          <w:sz w:val="28"/>
        </w:rPr>
        <w:t xml:space="preserve">
      39.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АППК РК.</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подачи</w:t>
            </w:r>
            <w:r>
              <w:br/>
            </w:r>
            <w:r>
              <w:rPr>
                <w:rFonts w:ascii="Times New Roman"/>
                <w:b w:val="false"/>
                <w:i w:val="false"/>
                <w:color w:val="000000"/>
                <w:sz w:val="20"/>
              </w:rPr>
              <w:t>и рассмотрения заявлений</w:t>
            </w:r>
            <w:r>
              <w:br/>
            </w:r>
            <w:r>
              <w:rPr>
                <w:rFonts w:ascii="Times New Roman"/>
                <w:b w:val="false"/>
                <w:i w:val="false"/>
                <w:color w:val="000000"/>
                <w:sz w:val="20"/>
              </w:rPr>
              <w:t>на выдачу лицензий на разведку</w:t>
            </w:r>
            <w:r>
              <w:br/>
            </w:r>
            <w:r>
              <w:rPr>
                <w:rFonts w:ascii="Times New Roman"/>
                <w:b w:val="false"/>
                <w:i w:val="false"/>
                <w:color w:val="000000"/>
                <w:sz w:val="20"/>
              </w:rPr>
              <w:t>твердых полезных ископаемых</w:t>
            </w:r>
          </w:p>
        </w:tc>
      </w:tr>
    </w:tbl>
    <w:bookmarkStart w:name="z111" w:id="104"/>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лицензии на разведу твердых полезных ископаемых"</w:t>
      </w:r>
    </w:p>
    <w:bookmarkEnd w:id="104"/>
    <w:p>
      <w:pPr>
        <w:spacing w:after="0"/>
        <w:ind w:left="0"/>
        <w:jc w:val="both"/>
      </w:pPr>
      <w:r>
        <w:rPr>
          <w:rFonts w:ascii="Times New Roman"/>
          <w:b w:val="false"/>
          <w:i w:val="false"/>
          <w:color w:val="ff0000"/>
          <w:sz w:val="28"/>
        </w:rPr>
        <w:t xml:space="preserve">
      Сноска. Приложение с изменениями, внесенными приказом и.о. Министра промышленности и строительства РК от 17.05.2024 </w:t>
      </w:r>
      <w:r>
        <w:rPr>
          <w:rFonts w:ascii="Times New Roman"/>
          <w:b w:val="false"/>
          <w:i w:val="false"/>
          <w:color w:val="ff0000"/>
          <w:sz w:val="28"/>
        </w:rPr>
        <w:t>№ 177</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единую платформу недропользователей "Minerals.gov.kz" (далее – ЕПН "Minerals.gov.kz)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лицензий на разведку твердых полезных ископаемых:</w:t>
            </w:r>
          </w:p>
          <w:p>
            <w:pPr>
              <w:spacing w:after="20"/>
              <w:ind w:left="20"/>
              <w:jc w:val="both"/>
            </w:pPr>
            <w:r>
              <w:rPr>
                <w:rFonts w:ascii="Times New Roman"/>
                <w:b w:val="false"/>
                <w:i w:val="false"/>
                <w:color w:val="000000"/>
                <w:sz w:val="20"/>
              </w:rPr>
              <w:t>1) рассмотрение заявления на соответствие Правилам и направление уведомления о необходимости предоставления обеспечения исполнения обязательств по ликвидации последствий операций по разведке твердых полезных ископаемых, либо мотивированный отказ в приеме заявления– 10 рабочих дней;</w:t>
            </w:r>
          </w:p>
          <w:p>
            <w:pPr>
              <w:spacing w:after="20"/>
              <w:ind w:left="20"/>
              <w:jc w:val="both"/>
            </w:pPr>
            <w:r>
              <w:rPr>
                <w:rFonts w:ascii="Times New Roman"/>
                <w:b w:val="false"/>
                <w:i w:val="false"/>
                <w:color w:val="000000"/>
                <w:sz w:val="20"/>
              </w:rPr>
              <w:t>2) выдача лицензии либо мотивированный отказ – 45 рабочих дней.</w:t>
            </w:r>
          </w:p>
          <w:p>
            <w:pPr>
              <w:spacing w:after="20"/>
              <w:ind w:left="20"/>
              <w:jc w:val="both"/>
            </w:pPr>
            <w:r>
              <w:rPr>
                <w:rFonts w:ascii="Times New Roman"/>
                <w:b w:val="false"/>
                <w:i w:val="false"/>
                <w:color w:val="000000"/>
                <w:sz w:val="20"/>
              </w:rPr>
              <w:t>выдача лицензий на разведку твердых полезных ископаемых в пределах территорий, впервые включаемых в программу управления государственным фондом недр:</w:t>
            </w:r>
          </w:p>
          <w:p>
            <w:pPr>
              <w:spacing w:after="20"/>
              <w:ind w:left="20"/>
              <w:jc w:val="both"/>
            </w:pPr>
            <w:r>
              <w:rPr>
                <w:rFonts w:ascii="Times New Roman"/>
                <w:b w:val="false"/>
                <w:i w:val="false"/>
                <w:color w:val="000000"/>
                <w:sz w:val="20"/>
              </w:rPr>
              <w:t>1) рассмотрение заявления на соответствие Правилам и направление уведомления о необходимости предоставления обеспечения исполнения обязательств по ликвидации последствий операций по разведке твердых полезных ископаемых, либо мотивированный отказ в приеме заявления – 20 рабочих дней;</w:t>
            </w:r>
          </w:p>
          <w:p>
            <w:pPr>
              <w:spacing w:after="20"/>
              <w:ind w:left="20"/>
              <w:jc w:val="both"/>
            </w:pPr>
            <w:r>
              <w:rPr>
                <w:rFonts w:ascii="Times New Roman"/>
                <w:b w:val="false"/>
                <w:i w:val="false"/>
                <w:color w:val="000000"/>
                <w:sz w:val="20"/>
              </w:rPr>
              <w:t>2) выдача лицензии либо мотивированный отказ – 45 рабочих дней.</w:t>
            </w:r>
          </w:p>
          <w:p>
            <w:pPr>
              <w:spacing w:after="20"/>
              <w:ind w:left="20"/>
              <w:jc w:val="both"/>
            </w:pPr>
            <w:r>
              <w:rPr>
                <w:rFonts w:ascii="Times New Roman"/>
                <w:b w:val="false"/>
                <w:i w:val="false"/>
                <w:color w:val="000000"/>
                <w:sz w:val="20"/>
              </w:rPr>
              <w:t>выдача лицензий на разведку твердых полезных ископаемых посредством аукциона:</w:t>
            </w:r>
          </w:p>
          <w:p>
            <w:pPr>
              <w:spacing w:after="20"/>
              <w:ind w:left="20"/>
              <w:jc w:val="both"/>
            </w:pPr>
            <w:r>
              <w:rPr>
                <w:rFonts w:ascii="Times New Roman"/>
                <w:b w:val="false"/>
                <w:i w:val="false"/>
                <w:color w:val="000000"/>
                <w:sz w:val="20"/>
              </w:rPr>
              <w:t>1) Уведомление заявителю о совпадающих блоках и приглашение на участие в аукционе – 20 рабочих дней;</w:t>
            </w:r>
          </w:p>
          <w:p>
            <w:pPr>
              <w:spacing w:after="20"/>
              <w:ind w:left="20"/>
              <w:jc w:val="both"/>
            </w:pPr>
            <w:r>
              <w:rPr>
                <w:rFonts w:ascii="Times New Roman"/>
                <w:b w:val="false"/>
                <w:i w:val="false"/>
                <w:color w:val="000000"/>
                <w:sz w:val="20"/>
              </w:rPr>
              <w:t>2) Извещение о проведении аукциона – 10 рабочих дней;</w:t>
            </w:r>
          </w:p>
          <w:p>
            <w:pPr>
              <w:spacing w:after="20"/>
              <w:ind w:left="20"/>
              <w:jc w:val="both"/>
            </w:pPr>
            <w:r>
              <w:rPr>
                <w:rFonts w:ascii="Times New Roman"/>
                <w:b w:val="false"/>
                <w:i w:val="false"/>
                <w:color w:val="000000"/>
                <w:sz w:val="20"/>
              </w:rPr>
              <w:t>3) Проведение аукциона – 15 рабочих дней;</w:t>
            </w:r>
          </w:p>
          <w:p>
            <w:pPr>
              <w:spacing w:after="20"/>
              <w:ind w:left="20"/>
              <w:jc w:val="both"/>
            </w:pPr>
            <w:r>
              <w:rPr>
                <w:rFonts w:ascii="Times New Roman"/>
                <w:b w:val="false"/>
                <w:i w:val="false"/>
                <w:color w:val="000000"/>
                <w:sz w:val="20"/>
              </w:rPr>
              <w:t>4) Уплата подписного бонуса – 20 рабочих дней со дня подписания протокола об итогах аукциона (в случае неуплаты подписного бонуса победителем для каждого последующего 10 рабочих дней);</w:t>
            </w:r>
          </w:p>
          <w:p>
            <w:pPr>
              <w:spacing w:after="20"/>
              <w:ind w:left="20"/>
              <w:jc w:val="both"/>
            </w:pPr>
            <w:r>
              <w:rPr>
                <w:rFonts w:ascii="Times New Roman"/>
                <w:b w:val="false"/>
                <w:i w:val="false"/>
                <w:color w:val="000000"/>
                <w:sz w:val="20"/>
              </w:rPr>
              <w:t>5) выдача лицензии либо мотивированный отказ в случае неуплаты суммы подписного бонуса – 5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разведку твердых полезных ископаемых либо мотивированный отказ.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осуществляется в соответствии со </w:t>
            </w:r>
            <w:r>
              <w:rPr>
                <w:rFonts w:ascii="Times New Roman"/>
                <w:b w:val="false"/>
                <w:i w:val="false"/>
                <w:color w:val="000000"/>
                <w:sz w:val="20"/>
              </w:rPr>
              <w:t>статьями 726</w:t>
            </w:r>
            <w:r>
              <w:rPr>
                <w:rFonts w:ascii="Times New Roman"/>
                <w:b w:val="false"/>
                <w:i w:val="false"/>
                <w:color w:val="000000"/>
                <w:sz w:val="20"/>
              </w:rPr>
              <w:t xml:space="preserve">, </w:t>
            </w:r>
            <w:r>
              <w:rPr>
                <w:rFonts w:ascii="Times New Roman"/>
                <w:b w:val="false"/>
                <w:i w:val="false"/>
                <w:color w:val="000000"/>
                <w:sz w:val="20"/>
              </w:rPr>
              <w:t>727</w:t>
            </w:r>
            <w:r>
              <w:rPr>
                <w:rFonts w:ascii="Times New Roman"/>
                <w:b w:val="false"/>
                <w:i w:val="false"/>
                <w:color w:val="000000"/>
                <w:sz w:val="20"/>
              </w:rPr>
              <w:t xml:space="preserve"> Кодекса Республики Казахстан "О налогах и других обязательных платежах в бюджет (Налоговый кодекс)" за исключением выдачи лицензий в рамках </w:t>
            </w:r>
            <w:r>
              <w:rPr>
                <w:rFonts w:ascii="Times New Roman"/>
                <w:b w:val="false"/>
                <w:i w:val="false"/>
                <w:color w:val="000000"/>
                <w:sz w:val="20"/>
              </w:rPr>
              <w:t>статьи 201</w:t>
            </w:r>
            <w:r>
              <w:rPr>
                <w:rFonts w:ascii="Times New Roman"/>
                <w:b w:val="false"/>
                <w:i w:val="false"/>
                <w:color w:val="000000"/>
                <w:sz w:val="20"/>
              </w:rPr>
              <w:t xml:space="preserve"> и </w:t>
            </w:r>
            <w:r>
              <w:rPr>
                <w:rFonts w:ascii="Times New Roman"/>
                <w:b w:val="false"/>
                <w:i w:val="false"/>
                <w:color w:val="000000"/>
                <w:sz w:val="20"/>
              </w:rPr>
              <w:t>пункта 11</w:t>
            </w:r>
            <w:r>
              <w:rPr>
                <w:rFonts w:ascii="Times New Roman"/>
                <w:b w:val="false"/>
                <w:i w:val="false"/>
                <w:color w:val="000000"/>
                <w:sz w:val="20"/>
              </w:rPr>
              <w:t xml:space="preserve"> статьи 277 Кодекса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ЕПН "Minerals.gov.kz"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праздничные и выходные дни,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2) услугодателя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в соответствии с </w:t>
            </w:r>
            <w:r>
              <w:rPr>
                <w:rFonts w:ascii="Times New Roman"/>
                <w:b w:val="false"/>
                <w:i w:val="false"/>
                <w:color w:val="000000"/>
                <w:sz w:val="20"/>
              </w:rPr>
              <w:t>Трудовым</w:t>
            </w:r>
            <w:r>
              <w:rPr>
                <w:rFonts w:ascii="Times New Roman"/>
                <w:b w:val="false"/>
                <w:i w:val="false"/>
                <w:color w:val="000000"/>
                <w:sz w:val="20"/>
              </w:rPr>
              <w:t xml:space="preserve"> кодексом Республики Казахстан и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праздниках в Республике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содержит следующие сведения:</w:t>
            </w:r>
          </w:p>
          <w:p>
            <w:pPr>
              <w:spacing w:after="20"/>
              <w:ind w:left="20"/>
              <w:jc w:val="both"/>
            </w:pPr>
            <w:r>
              <w:rPr>
                <w:rFonts w:ascii="Times New Roman"/>
                <w:b w:val="false"/>
                <w:i w:val="false"/>
                <w:color w:val="000000"/>
                <w:sz w:val="20"/>
              </w:rPr>
              <w:t>1) для физических лиц – фамилию, имя и отчество (если оно указано в документе, удостоверяющем личность) заявителя, место жительства, гражданство, сведения о документах, удостоверяющих личность услугополучателя;</w:t>
            </w:r>
          </w:p>
          <w:p>
            <w:pPr>
              <w:spacing w:after="20"/>
              <w:ind w:left="20"/>
              <w:jc w:val="both"/>
            </w:pPr>
            <w:r>
              <w:rPr>
                <w:rFonts w:ascii="Times New Roman"/>
                <w:b w:val="false"/>
                <w:i w:val="false"/>
                <w:color w:val="000000"/>
                <w:sz w:val="20"/>
              </w:rPr>
              <w:t>для юридических лиц – наименование услугополучателя;, его место нахождения, сведения о государственной регистрации в качестве юридического лица (выписка из торгового реестра или другой легализованный документ, удостоверяющий, что заявитель является юридическим лицом по законодательству иностранного государства), сведения о руководителях, юридических и физических лицах, государствах и международных организациях, прямо или косвенно контролирующих услугополучателя;</w:t>
            </w:r>
          </w:p>
          <w:p>
            <w:pPr>
              <w:spacing w:after="20"/>
              <w:ind w:left="20"/>
              <w:jc w:val="both"/>
            </w:pPr>
            <w:r>
              <w:rPr>
                <w:rFonts w:ascii="Times New Roman"/>
                <w:b w:val="false"/>
                <w:i w:val="false"/>
                <w:color w:val="000000"/>
                <w:sz w:val="20"/>
              </w:rPr>
              <w:t>2) документ, подтверждающий полномочия лица, действующего от имени услугополучателя при подаче заявления, если такое лицо назначено заявителем;</w:t>
            </w:r>
          </w:p>
          <w:p>
            <w:pPr>
              <w:spacing w:after="20"/>
              <w:ind w:left="20"/>
              <w:jc w:val="both"/>
            </w:pPr>
            <w:r>
              <w:rPr>
                <w:rFonts w:ascii="Times New Roman"/>
                <w:b w:val="false"/>
                <w:i w:val="false"/>
                <w:color w:val="000000"/>
                <w:sz w:val="20"/>
              </w:rPr>
              <w:t>3) письменное описание видов, методов, способов, примерных сроков по годам и объемов работ по разведке, которые услугополучатель намерен проводить на запрашиваемом участке недр;</w:t>
            </w:r>
          </w:p>
          <w:p>
            <w:pPr>
              <w:spacing w:after="20"/>
              <w:ind w:left="20"/>
              <w:jc w:val="both"/>
            </w:pPr>
            <w:r>
              <w:rPr>
                <w:rFonts w:ascii="Times New Roman"/>
                <w:b w:val="false"/>
                <w:i w:val="false"/>
                <w:color w:val="000000"/>
                <w:sz w:val="20"/>
              </w:rPr>
              <w:t>4) согласие лица на выдачу лицензии на разведку твердых полезных ископаемых, если на запрашиваемом участке или его части такое лицо осуществляет операции по добыче углеводородов на основании контракта на недропользование;</w:t>
            </w:r>
          </w:p>
          <w:p>
            <w:pPr>
              <w:spacing w:after="20"/>
              <w:ind w:left="20"/>
              <w:jc w:val="both"/>
            </w:pPr>
            <w:r>
              <w:rPr>
                <w:rFonts w:ascii="Times New Roman"/>
                <w:b w:val="false"/>
                <w:i w:val="false"/>
                <w:color w:val="000000"/>
                <w:sz w:val="20"/>
              </w:rPr>
              <w:t>5) документы, подтверждающие наличие у услугополучателя финансовых и профессиональных возможностей осуществлять операции по разведке твердых полезных ископаемых;</w:t>
            </w:r>
          </w:p>
          <w:p>
            <w:pPr>
              <w:spacing w:after="20"/>
              <w:ind w:left="20"/>
              <w:jc w:val="both"/>
            </w:pPr>
            <w:r>
              <w:rPr>
                <w:rFonts w:ascii="Times New Roman"/>
                <w:b w:val="false"/>
                <w:i w:val="false"/>
                <w:color w:val="000000"/>
                <w:sz w:val="20"/>
              </w:rPr>
              <w:t xml:space="preserve">6) соглашение о социально-экономической поддержке местного населения, предусмотренного </w:t>
            </w:r>
            <w:r>
              <w:rPr>
                <w:rFonts w:ascii="Times New Roman"/>
                <w:b w:val="false"/>
                <w:i w:val="false"/>
                <w:color w:val="000000"/>
                <w:sz w:val="20"/>
              </w:rPr>
              <w:t>подпунктом 1)</w:t>
            </w:r>
            <w:r>
              <w:rPr>
                <w:rFonts w:ascii="Times New Roman"/>
                <w:b w:val="false"/>
                <w:i w:val="false"/>
                <w:color w:val="000000"/>
                <w:sz w:val="20"/>
              </w:rPr>
              <w:t xml:space="preserve"> пункта 3 статьи 25 Кодекса, если территория запрашиваемого участка недр полностью или частично относится к землям населенных пунктов и прилегающим к ним территориям на расстоянии одной тысячи метров;</w:t>
            </w:r>
          </w:p>
          <w:p>
            <w:pPr>
              <w:spacing w:after="20"/>
              <w:ind w:left="20"/>
              <w:jc w:val="both"/>
            </w:pPr>
            <w:r>
              <w:rPr>
                <w:rFonts w:ascii="Times New Roman"/>
                <w:b w:val="false"/>
                <w:i w:val="false"/>
                <w:color w:val="000000"/>
                <w:sz w:val="20"/>
              </w:rPr>
              <w:t>7) справка налогового органа об отсутствии у услугополучателя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выданная не ранее чем за десять календарных дней, предшествующих дате подачи заявления.</w:t>
            </w:r>
          </w:p>
          <w:p>
            <w:pPr>
              <w:spacing w:after="20"/>
              <w:ind w:left="20"/>
              <w:jc w:val="both"/>
            </w:pPr>
            <w:r>
              <w:rPr>
                <w:rFonts w:ascii="Times New Roman"/>
                <w:b w:val="false"/>
                <w:i w:val="false"/>
                <w:color w:val="000000"/>
                <w:sz w:val="20"/>
              </w:rPr>
              <w:t xml:space="preserve">К заявлению о выдаче лицензии на разведку твердых полезных ископаемых, поданному в соответствии с абзацем вторым </w:t>
            </w:r>
            <w:r>
              <w:rPr>
                <w:rFonts w:ascii="Times New Roman"/>
                <w:b w:val="false"/>
                <w:i w:val="false"/>
                <w:color w:val="000000"/>
                <w:sz w:val="20"/>
              </w:rPr>
              <w:t>пункта 5</w:t>
            </w:r>
            <w:r>
              <w:rPr>
                <w:rFonts w:ascii="Times New Roman"/>
                <w:b w:val="false"/>
                <w:i w:val="false"/>
                <w:color w:val="000000"/>
                <w:sz w:val="20"/>
              </w:rPr>
              <w:t xml:space="preserve"> настоящих Правил, помимо документов, предусмотренных настоящим пунктом, прилагается прилагается заключение уполномоченного органа в области государственного стимулирования промышленности, подтверждающее, что производственная деятельность (технологический процесс) заявителя связана (связан) с недропользованием.</w:t>
            </w:r>
          </w:p>
          <w:p>
            <w:pPr>
              <w:spacing w:after="20"/>
              <w:ind w:left="20"/>
              <w:jc w:val="both"/>
            </w:pPr>
            <w:r>
              <w:rPr>
                <w:rFonts w:ascii="Times New Roman"/>
                <w:b w:val="false"/>
                <w:i w:val="false"/>
                <w:color w:val="000000"/>
                <w:sz w:val="20"/>
              </w:rPr>
              <w:t>2. Для подтверждения наличия у услугополучателя финансовых возможностей, достаточных для проведения операций по разведке, представляется один из следующих документов:</w:t>
            </w:r>
          </w:p>
          <w:p>
            <w:pPr>
              <w:spacing w:after="20"/>
              <w:ind w:left="20"/>
              <w:jc w:val="both"/>
            </w:pPr>
            <w:r>
              <w:rPr>
                <w:rFonts w:ascii="Times New Roman"/>
                <w:b w:val="false"/>
                <w:i w:val="false"/>
                <w:color w:val="000000"/>
                <w:sz w:val="20"/>
              </w:rPr>
              <w:t>1) выписка об остатке и движении денег по банковскому счету в банке второго уровня Республики Казахстан или у Национального оператора почты, подтверждающая постоянное в течение тридцатидневного срока наличие (остаток) у услугополучателя денег в пределах трех месяцев, предшествующих дате подачи заявления на выдачу лицензии, в количестве, достаточном для покрытия требуемых минимальных расходов на разведку в первый год действия запрашиваемой лицензии.</w:t>
            </w:r>
          </w:p>
          <w:p>
            <w:pPr>
              <w:spacing w:after="0"/>
              <w:ind w:left="0"/>
              <w:jc w:val="both"/>
            </w:pPr>
            <w:r>
              <w:rPr>
                <w:rFonts w:ascii="Times New Roman"/>
                <w:b w:val="false"/>
                <w:i w:val="false"/>
                <w:color w:val="000000"/>
                <w:sz w:val="20"/>
              </w:rPr>
              <w:t>
Если в какой-либо из дней заявленного тридцатидневного периода в результате операций по движению средств остаток денежных средств окажется меньше требуемых подпунктом 1) части первой настоящего пункта, то такая выписка не признается документом, подтверждающим наличие у заявителя финансовых возможностей. При наличии у заявителя нескольких счетов в банке второго уровня для целей подтверждения финансовых возможностей могут в совокупности учитываться также сведения об остатке и движении денежных средства по нескольким счетам, по которым представлены выписки;</w:t>
            </w:r>
          </w:p>
          <w:p>
            <w:pPr>
              <w:spacing w:after="20"/>
              <w:ind w:left="20"/>
              <w:jc w:val="both"/>
            </w:pPr>
          </w:p>
          <w:p>
            <w:pPr>
              <w:spacing w:after="20"/>
              <w:ind w:left="20"/>
              <w:jc w:val="both"/>
            </w:pPr>
            <w:r>
              <w:rPr>
                <w:rFonts w:ascii="Times New Roman"/>
                <w:b w:val="false"/>
                <w:i w:val="false"/>
                <w:color w:val="000000"/>
                <w:sz w:val="20"/>
              </w:rPr>
              <w:t>2) копия договора займа денег (предварительный договор займа) или договора о финансировании деятельности, предусматривающего в качестве целевого назначения займа финансирование деятельности заявителя по разведке твердых полезных ископаемых, а также подтверждающего сумму займа (финансирования) достаточной для покрытия требуемых минимальных расходов на разведку в первый год действия запрашиваемой лицензии;</w:t>
            </w:r>
          </w:p>
          <w:p>
            <w:pPr>
              <w:spacing w:after="20"/>
              <w:ind w:left="20"/>
              <w:jc w:val="both"/>
            </w:pPr>
            <w:r>
              <w:rPr>
                <w:rFonts w:ascii="Times New Roman"/>
                <w:b w:val="false"/>
                <w:i w:val="false"/>
                <w:color w:val="000000"/>
                <w:sz w:val="20"/>
              </w:rPr>
              <w:t>3) финансовая отчетность услугополучателя с аудиторским отчетом, составленным в соответствии с законодательством Республики Казахстан об аудиторской деятельности, подготовленная за шесть последовательных календарных месяцев или предыдущий календарный год, предшествующих дате подачи заявления на выдачу лицензии, в которой размер чистых активов заявителя превышает его обязательства на величину минимальных расходов на разведку в первый год действия запрашиваемой лицензии;</w:t>
            </w:r>
          </w:p>
          <w:p>
            <w:pPr>
              <w:spacing w:after="20"/>
              <w:ind w:left="20"/>
              <w:jc w:val="both"/>
            </w:pPr>
            <w:r>
              <w:rPr>
                <w:rFonts w:ascii="Times New Roman"/>
                <w:b w:val="false"/>
                <w:i w:val="false"/>
                <w:color w:val="000000"/>
                <w:sz w:val="20"/>
              </w:rPr>
              <w:t>4) письмо рейтингового агентства, признаваемого фондовой биржей, осуществляющей деятельность в Республике Казахстан, о присвоении заявителю в течение года, предшествующего дате подачи заявления, рейтинговой оценки не ниже минимальной рейтинговой оценки, определяемой услугодателем.</w:t>
            </w:r>
          </w:p>
          <w:p>
            <w:pPr>
              <w:spacing w:after="20"/>
              <w:ind w:left="20"/>
              <w:jc w:val="both"/>
            </w:pPr>
            <w:r>
              <w:rPr>
                <w:rFonts w:ascii="Times New Roman"/>
                <w:b w:val="false"/>
                <w:i w:val="false"/>
                <w:color w:val="000000"/>
                <w:sz w:val="20"/>
              </w:rPr>
              <w:t>Если в качестве документа, подтверждающего наличие у услугополучателя финансовых возможностей, представлена копия договора займа денег (предварительного договора займа) или договора о финансировании деятельности, займодателем по которому выступает (финансирует) лицо, не являющееся финансовой организацией, к заявлению дополнительно прилагается один из документов, подтверждающих наличие у данного лица финансовых возможностей, предусмотренных подпунктами 1), 3) или 4) настоящего пункта.</w:t>
            </w:r>
          </w:p>
          <w:p>
            <w:pPr>
              <w:spacing w:after="20"/>
              <w:ind w:left="20"/>
              <w:jc w:val="both"/>
            </w:pPr>
            <w:r>
              <w:rPr>
                <w:rFonts w:ascii="Times New Roman"/>
                <w:b w:val="false"/>
                <w:i w:val="false"/>
                <w:color w:val="000000"/>
                <w:sz w:val="20"/>
              </w:rPr>
              <w:t>3. Для подтверждения наличия у услугополучателя профессиональных возможностей, достаточных для проведения операций по разведке, представляются любые из следующих документов:</w:t>
            </w:r>
          </w:p>
          <w:p>
            <w:pPr>
              <w:spacing w:after="20"/>
              <w:ind w:left="20"/>
              <w:jc w:val="both"/>
            </w:pPr>
            <w:r>
              <w:rPr>
                <w:rFonts w:ascii="Times New Roman"/>
                <w:b w:val="false"/>
                <w:i w:val="false"/>
                <w:color w:val="000000"/>
                <w:sz w:val="20"/>
              </w:rPr>
              <w:t>1) справка о наличии в штате специалиста или копия договора оказания услуг со специалистом в области геологии или геофизики;</w:t>
            </w:r>
          </w:p>
          <w:p>
            <w:pPr>
              <w:spacing w:after="20"/>
              <w:ind w:left="20"/>
              <w:jc w:val="both"/>
            </w:pPr>
            <w:r>
              <w:rPr>
                <w:rFonts w:ascii="Times New Roman"/>
                <w:b w:val="false"/>
                <w:i w:val="false"/>
                <w:color w:val="000000"/>
                <w:sz w:val="20"/>
              </w:rPr>
              <w:t xml:space="preserve">2) копия договора оказания услуг с подрядной организацией или договора оказания услуг оператора, назначаемого заявителем в соответствии с </w:t>
            </w:r>
            <w:r>
              <w:rPr>
                <w:rFonts w:ascii="Times New Roman"/>
                <w:b w:val="false"/>
                <w:i w:val="false"/>
                <w:color w:val="000000"/>
                <w:sz w:val="20"/>
              </w:rPr>
              <w:t>главой 6</w:t>
            </w:r>
            <w:r>
              <w:rPr>
                <w:rFonts w:ascii="Times New Roman"/>
                <w:b w:val="false"/>
                <w:i w:val="false"/>
                <w:color w:val="000000"/>
                <w:sz w:val="20"/>
              </w:rPr>
              <w:t xml:space="preserve"> Кодекса, в случае выдачи услугополучателю запрашиваемой лицензии на разведку, в штате которого имеется один из специалистов, перечисленных в подпункте 1) настоящего пункта.</w:t>
            </w:r>
          </w:p>
          <w:p>
            <w:pPr>
              <w:spacing w:after="20"/>
              <w:ind w:left="20"/>
              <w:jc w:val="both"/>
            </w:pPr>
            <w:r>
              <w:rPr>
                <w:rFonts w:ascii="Times New Roman"/>
                <w:b w:val="false"/>
                <w:i w:val="false"/>
                <w:color w:val="000000"/>
                <w:sz w:val="20"/>
              </w:rPr>
              <w:t xml:space="preserve">Если в качестве документа, подтверждающего наличие у услугополучателя профессиональных возможностей, представлены копии договора оказания услуг с подрядной организацией или договора оказания услуг оператора, назначаемого заявителем в соответствии с </w:t>
            </w:r>
            <w:r>
              <w:rPr>
                <w:rFonts w:ascii="Times New Roman"/>
                <w:b w:val="false"/>
                <w:i w:val="false"/>
                <w:color w:val="000000"/>
                <w:sz w:val="20"/>
              </w:rPr>
              <w:t>главой 6</w:t>
            </w:r>
            <w:r>
              <w:rPr>
                <w:rFonts w:ascii="Times New Roman"/>
                <w:b w:val="false"/>
                <w:i w:val="false"/>
                <w:color w:val="000000"/>
                <w:sz w:val="20"/>
              </w:rPr>
              <w:t xml:space="preserve"> Кодекса, к заявлению дополнительно прилагается справка о наличии у привлекаемой организации (оператора) в штате одного из специалистов, указанных в подпункте 1) части первой настоящего пункта, или копия договора оказания услуг с соответствующим специалистом.</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отказывает в выдаче лицензии при наличии одного из следующих оснований:</w:t>
            </w:r>
          </w:p>
          <w:p>
            <w:pPr>
              <w:spacing w:after="20"/>
              <w:ind w:left="20"/>
              <w:jc w:val="both"/>
            </w:pP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xml:space="preserve">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xml:space="preserve">4) заявление или прилагаемые к нему документы не соответствуют требованиям, предусмотренным </w:t>
            </w:r>
            <w:r>
              <w:rPr>
                <w:rFonts w:ascii="Times New Roman"/>
                <w:b w:val="false"/>
                <w:i w:val="false"/>
                <w:color w:val="000000"/>
                <w:sz w:val="20"/>
              </w:rPr>
              <w:t>Кодексом</w:t>
            </w:r>
            <w:r>
              <w:rPr>
                <w:rFonts w:ascii="Times New Roman"/>
                <w:b w:val="false"/>
                <w:i w:val="false"/>
                <w:color w:val="000000"/>
                <w:sz w:val="20"/>
              </w:rPr>
              <w:t>;</w:t>
            </w:r>
          </w:p>
          <w:p>
            <w:pPr>
              <w:spacing w:after="20"/>
              <w:ind w:left="20"/>
              <w:jc w:val="both"/>
            </w:pPr>
            <w:r>
              <w:rPr>
                <w:rFonts w:ascii="Times New Roman"/>
                <w:b w:val="false"/>
                <w:i w:val="false"/>
                <w:color w:val="000000"/>
                <w:sz w:val="20"/>
              </w:rPr>
              <w:t>5) к заявлению не приложены документы, требуемые настоящими Правилами;</w:t>
            </w:r>
          </w:p>
          <w:p>
            <w:pPr>
              <w:spacing w:after="20"/>
              <w:ind w:left="20"/>
              <w:jc w:val="both"/>
            </w:pPr>
            <w:r>
              <w:rPr>
                <w:rFonts w:ascii="Times New Roman"/>
                <w:b w:val="false"/>
                <w:i w:val="false"/>
                <w:color w:val="000000"/>
                <w:sz w:val="20"/>
              </w:rPr>
              <w:t>6) в течение одного года до подачи заявления у услугополучателя или лица, прямо или косвенно контролирующего услугополучателя или находящегося под его контролем, была отозвана лицензия на разведку или лицензия на добычу твердых полезных ископаемых, включающая полностью или частично запрашиваемый участок недр;</w:t>
            </w:r>
          </w:p>
          <w:p>
            <w:pPr>
              <w:spacing w:after="20"/>
              <w:ind w:left="20"/>
              <w:jc w:val="both"/>
            </w:pPr>
            <w:r>
              <w:rPr>
                <w:rFonts w:ascii="Times New Roman"/>
                <w:b w:val="false"/>
                <w:i w:val="false"/>
                <w:color w:val="000000"/>
                <w:sz w:val="20"/>
              </w:rPr>
              <w:t xml:space="preserve">
7) запрашиваемая территория полностью относится к территории и (или) блокам, указанным в </w:t>
            </w:r>
            <w:r>
              <w:rPr>
                <w:rFonts w:ascii="Times New Roman"/>
                <w:b w:val="false"/>
                <w:i w:val="false"/>
                <w:color w:val="000000"/>
                <w:sz w:val="20"/>
              </w:rPr>
              <w:t>пункте 6</w:t>
            </w:r>
            <w:r>
              <w:rPr>
                <w:rFonts w:ascii="Times New Roman"/>
                <w:b w:val="false"/>
                <w:i w:val="false"/>
                <w:color w:val="000000"/>
                <w:sz w:val="20"/>
              </w:rPr>
              <w:t xml:space="preserve"> настоящих Правил;</w:t>
            </w:r>
          </w:p>
          <w:p>
            <w:pPr>
              <w:spacing w:after="20"/>
              <w:ind w:left="20"/>
              <w:jc w:val="both"/>
            </w:pPr>
            <w:r>
              <w:rPr>
                <w:rFonts w:ascii="Times New Roman"/>
                <w:b w:val="false"/>
                <w:i w:val="false"/>
                <w:color w:val="000000"/>
                <w:sz w:val="20"/>
              </w:rPr>
              <w:t>8) в течение одного календарного года до подачи заявления услугополучатель или лицо, прямо или косвенно контролирующее заявителя или находящееся под его контролем, отказались от запрашиваемого участка недр или его части;</w:t>
            </w:r>
          </w:p>
          <w:p>
            <w:pPr>
              <w:spacing w:after="20"/>
              <w:ind w:left="20"/>
              <w:jc w:val="both"/>
            </w:pPr>
            <w:r>
              <w:rPr>
                <w:rFonts w:ascii="Times New Roman"/>
                <w:b w:val="false"/>
                <w:i w:val="false"/>
                <w:color w:val="000000"/>
                <w:sz w:val="20"/>
              </w:rPr>
              <w:t>9) выдача лицензии повлечет угрозу национальной безопасности страны или концентрацию прав недропользования;</w:t>
            </w:r>
          </w:p>
          <w:p>
            <w:pPr>
              <w:spacing w:after="20"/>
              <w:ind w:left="20"/>
              <w:jc w:val="both"/>
            </w:pPr>
            <w:r>
              <w:rPr>
                <w:rFonts w:ascii="Times New Roman"/>
                <w:b w:val="false"/>
                <w:i w:val="false"/>
                <w:color w:val="000000"/>
                <w:sz w:val="20"/>
              </w:rPr>
              <w:t>10) территория запрашиваемого участка недр превышает ограничение по размеру или не соответствует требованиям, установленным настоящими Правилами;</w:t>
            </w:r>
          </w:p>
          <w:p>
            <w:pPr>
              <w:spacing w:after="20"/>
              <w:ind w:left="20"/>
              <w:jc w:val="both"/>
            </w:pPr>
            <w:r>
              <w:rPr>
                <w:rFonts w:ascii="Times New Roman"/>
                <w:b w:val="false"/>
                <w:i w:val="false"/>
                <w:color w:val="000000"/>
                <w:sz w:val="20"/>
              </w:rPr>
              <w:t>11) в течение пяти лет, предшествующих дате подачи заявления, услугополучатель или лицо, прямо или косвенно контролирующее услугополучателя или находящееся под его контролем, не исполнили или ненадлежащим образом исполнили обязательства по ликвидации последствий операций по недропользованию на участках недр, находившихся у них в пользовании;</w:t>
            </w:r>
          </w:p>
          <w:p>
            <w:pPr>
              <w:spacing w:after="20"/>
              <w:ind w:left="20"/>
              <w:jc w:val="both"/>
            </w:pPr>
            <w:r>
              <w:rPr>
                <w:rFonts w:ascii="Times New Roman"/>
                <w:b w:val="false"/>
                <w:i w:val="false"/>
                <w:color w:val="000000"/>
                <w:sz w:val="20"/>
              </w:rPr>
              <w:t xml:space="preserve">12) несоблюдение услугополучателем срока представления услугодателю надлежащего обеспечения исполнения обязательств по ликвидации последствий операций по разведке твердых полезных ископаемых в соответствии с требованиями </w:t>
            </w:r>
            <w:r>
              <w:rPr>
                <w:rFonts w:ascii="Times New Roman"/>
                <w:b w:val="false"/>
                <w:i w:val="false"/>
                <w:color w:val="000000"/>
                <w:sz w:val="20"/>
              </w:rPr>
              <w:t>Кодекса</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Установить, что программа управления государственным фондом недр должна предусматривать дату начала приема компетентным органом заявлений на выдачу лицензий на разведку твердых полезных ископаемых в пределах территорий, впервые включаемых в программу управления государственным фондом недр и не относящихся к территориям, указанным в </w:t>
            </w:r>
            <w:r>
              <w:rPr>
                <w:rFonts w:ascii="Times New Roman"/>
                <w:b w:val="false"/>
                <w:i w:val="false"/>
                <w:color w:val="000000"/>
                <w:sz w:val="20"/>
              </w:rPr>
              <w:t>пунктах 4</w:t>
            </w:r>
            <w:r>
              <w:rPr>
                <w:rFonts w:ascii="Times New Roman"/>
                <w:b w:val="false"/>
                <w:i w:val="false"/>
                <w:color w:val="000000"/>
                <w:sz w:val="20"/>
              </w:rPr>
              <w:t xml:space="preserve"> и </w:t>
            </w:r>
            <w:r>
              <w:rPr>
                <w:rFonts w:ascii="Times New Roman"/>
                <w:b w:val="false"/>
                <w:i w:val="false"/>
                <w:color w:val="000000"/>
                <w:sz w:val="20"/>
              </w:rPr>
              <w:t>5</w:t>
            </w:r>
            <w:r>
              <w:rPr>
                <w:rFonts w:ascii="Times New Roman"/>
                <w:b w:val="false"/>
                <w:i w:val="false"/>
                <w:color w:val="000000"/>
                <w:sz w:val="20"/>
              </w:rPr>
              <w:t xml:space="preserve"> статьи 278 Кодекса. Указанная дата устанавливается не ранее чем через два месяца со дня утверждения программы управления государственным фондом недр или внесения в нее соответствующих изменений.</w:t>
            </w:r>
          </w:p>
          <w:p>
            <w:pPr>
              <w:spacing w:after="20"/>
              <w:ind w:left="20"/>
              <w:jc w:val="both"/>
            </w:pPr>
            <w:r>
              <w:rPr>
                <w:rFonts w:ascii="Times New Roman"/>
                <w:b w:val="false"/>
                <w:i w:val="false"/>
                <w:color w:val="000000"/>
                <w:sz w:val="20"/>
              </w:rPr>
              <w:t>Установить следующие особенности рассмотрения и выдачи лицензий на разведку твердых полезных ископаемых в пределах территорий, впервые включаемых в программу управления государственным фондом недр:</w:t>
            </w:r>
          </w:p>
          <w:p>
            <w:pPr>
              <w:spacing w:after="20"/>
              <w:ind w:left="20"/>
              <w:jc w:val="both"/>
            </w:pPr>
            <w:r>
              <w:rPr>
                <w:rFonts w:ascii="Times New Roman"/>
                <w:b w:val="false"/>
                <w:i w:val="false"/>
                <w:color w:val="000000"/>
                <w:sz w:val="20"/>
              </w:rPr>
              <w:t xml:space="preserve">1) заявления, поступившие в течение месяца со дня начала их приема, рассматриваются без учета положений, предусмотренных </w:t>
            </w:r>
            <w:r>
              <w:rPr>
                <w:rFonts w:ascii="Times New Roman"/>
                <w:b w:val="false"/>
                <w:i w:val="false"/>
                <w:color w:val="000000"/>
                <w:sz w:val="20"/>
              </w:rPr>
              <w:t>пунктами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и </w:t>
            </w:r>
            <w:r>
              <w:rPr>
                <w:rFonts w:ascii="Times New Roman"/>
                <w:b w:val="false"/>
                <w:i w:val="false"/>
                <w:color w:val="000000"/>
                <w:sz w:val="20"/>
              </w:rPr>
              <w:t>3</w:t>
            </w:r>
            <w:r>
              <w:rPr>
                <w:rFonts w:ascii="Times New Roman"/>
                <w:b w:val="false"/>
                <w:i w:val="false"/>
                <w:color w:val="000000"/>
                <w:sz w:val="20"/>
              </w:rPr>
              <w:t xml:space="preserve"> статьи 188 Кодекса, и считаются имеющими одинаковую приоритетность;</w:t>
            </w:r>
          </w:p>
          <w:p>
            <w:pPr>
              <w:spacing w:after="20"/>
              <w:ind w:left="20"/>
              <w:jc w:val="both"/>
            </w:pPr>
            <w:r>
              <w:rPr>
                <w:rFonts w:ascii="Times New Roman"/>
                <w:b w:val="false"/>
                <w:i w:val="false"/>
                <w:color w:val="000000"/>
                <w:sz w:val="20"/>
              </w:rPr>
              <w:t>2) если в результате рассмотрения заявлений, поступивших в течение срока, предусмотренного подпунктом 1) настоящей части, будет установлено, что один и тот же блок (блоки) включен в несколько заявлений, по которым не принято решение об отказе в выдаче лицензии, по данному блоку (блокам) среди заявителей проводится аукцион в порядке и сроки, которые определяются компетентным органом. Отказ от участия в аукционе или неявка на аукцион заявителя является основанием для отклонения его заявки по соответствующему блоку;</w:t>
            </w:r>
          </w:p>
          <w:p>
            <w:pPr>
              <w:spacing w:after="20"/>
              <w:ind w:left="20"/>
              <w:jc w:val="both"/>
            </w:pPr>
            <w:r>
              <w:rPr>
                <w:rFonts w:ascii="Times New Roman"/>
                <w:b w:val="false"/>
                <w:i w:val="false"/>
                <w:color w:val="000000"/>
                <w:sz w:val="20"/>
              </w:rPr>
              <w:t xml:space="preserve">3) по итогам аукциона выдача лицензий по заявлениям, указанным в подпункте 2) настоящей части, осуществляется согласно </w:t>
            </w:r>
            <w:r>
              <w:rPr>
                <w:rFonts w:ascii="Times New Roman"/>
                <w:b w:val="false"/>
                <w:i w:val="false"/>
                <w:color w:val="000000"/>
                <w:sz w:val="20"/>
              </w:rPr>
              <w:t>статье 188</w:t>
            </w:r>
            <w:r>
              <w:rPr>
                <w:rFonts w:ascii="Times New Roman"/>
                <w:b w:val="false"/>
                <w:i w:val="false"/>
                <w:color w:val="000000"/>
                <w:sz w:val="20"/>
              </w:rPr>
              <w:t xml:space="preserve"> и положениям о приоритетности </w:t>
            </w:r>
            <w:r>
              <w:rPr>
                <w:rFonts w:ascii="Times New Roman"/>
                <w:b w:val="false"/>
                <w:i w:val="false"/>
                <w:color w:val="000000"/>
                <w:sz w:val="20"/>
              </w:rPr>
              <w:t>статьи 189</w:t>
            </w:r>
            <w:r>
              <w:rPr>
                <w:rFonts w:ascii="Times New Roman"/>
                <w:b w:val="false"/>
                <w:i w:val="false"/>
                <w:color w:val="000000"/>
                <w:sz w:val="20"/>
              </w:rPr>
              <w:t xml:space="preserve"> настоящего Кодекса с учетом того, что заявление лица, признанного победителем аукциона, считается приоритетным в отношении блока (блоков), по которому (которым) проведен аукцион. Заявления на выдачу лицензии на разведку, поданные после истечения срока, предусмотренного подпунктом 1) настоящей части, рассматриваются согласно положениям о рассмотрении заявления и выдаче лицензии на разведку твердых полезных ископаемых, предусмотренным </w:t>
            </w:r>
            <w:r>
              <w:rPr>
                <w:rFonts w:ascii="Times New Roman"/>
                <w:b w:val="false"/>
                <w:i w:val="false"/>
                <w:color w:val="000000"/>
                <w:sz w:val="20"/>
              </w:rPr>
              <w:t>главой 27</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Адреса оказания государственной услуги размещен на интернет-ресурсе услугодателя – www.miid.gov.kz.</w:t>
            </w:r>
          </w:p>
          <w:p>
            <w:pPr>
              <w:spacing w:after="20"/>
              <w:ind w:left="20"/>
              <w:jc w:val="both"/>
            </w:pPr>
            <w:r>
              <w:rPr>
                <w:rFonts w:ascii="Times New Roman"/>
                <w:b w:val="false"/>
                <w:i w:val="false"/>
                <w:color w:val="000000"/>
                <w:sz w:val="20"/>
              </w:rPr>
              <w:t>Контактные телефоны справочных служб по вопросам оказания государственной услуги: 8 (7172) 983-334, единый контакт-центр по вопросам оказания государственных услуг: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