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60dd" w14:textId="13a60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факторов, влияющих на ухудшение финансового положения страховой (перестраховочной) организации, страховой группы и филиала страховой (перестраховочной) организации – нерезидента Республики Казахстан,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страховой (перестраховочной) организации (страховой группы) и филиала страховой (перестраховочной) организации – нерезидента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апреля 2018 года № 75. Зарегистрировано в Министерстве юстиции Республики Казахстан 28 мая 2018 года № 16944.</w:t>
      </w:r>
    </w:p>
    <w:p>
      <w:pPr>
        <w:spacing w:after="0"/>
        <w:ind w:left="0"/>
        <w:jc w:val="both"/>
      </w:pPr>
      <w:r>
        <w:rPr>
          <w:rFonts w:ascii="Times New Roman"/>
          <w:b w:val="false"/>
          <w:i w:val="false"/>
          <w:color w:val="ff0000"/>
          <w:sz w:val="28"/>
        </w:rPr>
        <w:t xml:space="preserve">
      Сноска. Заголовок в редакции постановления Правления Агентства РК по регулированию и развитию финансового рынка от 12.02.2021 </w:t>
      </w:r>
      <w:r>
        <w:rPr>
          <w:rFonts w:ascii="Times New Roman"/>
          <w:b w:val="false"/>
          <w:i w:val="false"/>
          <w:color w:val="ff0000"/>
          <w:sz w:val="28"/>
        </w:rPr>
        <w:t>№ 28</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53 Закона Республики Казахстан "О страховой деятельности"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27.01.2026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Установить следующие факторы, влияющие на ухудшение финансового положения страховой (перестраховочной) организации:</w:t>
      </w:r>
    </w:p>
    <w:bookmarkEnd w:id="1"/>
    <w:bookmarkStart w:name="z593" w:id="2"/>
    <w:p>
      <w:pPr>
        <w:spacing w:after="0"/>
        <w:ind w:left="0"/>
        <w:jc w:val="both"/>
      </w:pPr>
      <w:r>
        <w:rPr>
          <w:rFonts w:ascii="Times New Roman"/>
          <w:b w:val="false"/>
          <w:i w:val="false"/>
          <w:color w:val="000000"/>
          <w:sz w:val="28"/>
        </w:rPr>
        <w:t>
      1) снижение норматива достаточности маржи платежеспособности страховой (перестраховочной) организации;</w:t>
      </w:r>
    </w:p>
    <w:bookmarkEnd w:id="2"/>
    <w:bookmarkStart w:name="z594" w:id="3"/>
    <w:p>
      <w:pPr>
        <w:spacing w:after="0"/>
        <w:ind w:left="0"/>
        <w:jc w:val="both"/>
      </w:pPr>
      <w:r>
        <w:rPr>
          <w:rFonts w:ascii="Times New Roman"/>
          <w:b w:val="false"/>
          <w:i w:val="false"/>
          <w:color w:val="000000"/>
          <w:sz w:val="28"/>
        </w:rPr>
        <w:t>
      2) снижение норматива достаточности высоколиквидных активов страховой (перестраховочной) организации;</w:t>
      </w:r>
    </w:p>
    <w:bookmarkEnd w:id="3"/>
    <w:bookmarkStart w:name="z595" w:id="4"/>
    <w:p>
      <w:pPr>
        <w:spacing w:after="0"/>
        <w:ind w:left="0"/>
        <w:jc w:val="both"/>
      </w:pPr>
      <w:r>
        <w:rPr>
          <w:rFonts w:ascii="Times New Roman"/>
          <w:b w:val="false"/>
          <w:i w:val="false"/>
          <w:color w:val="000000"/>
          <w:sz w:val="28"/>
        </w:rPr>
        <w:t>
      3) недостаток высоколиквидных активов для покрытия страховых резервов;</w:t>
      </w:r>
    </w:p>
    <w:bookmarkEnd w:id="4"/>
    <w:bookmarkStart w:name="z596" w:id="5"/>
    <w:p>
      <w:pPr>
        <w:spacing w:after="0"/>
        <w:ind w:left="0"/>
        <w:jc w:val="both"/>
      </w:pPr>
      <w:r>
        <w:rPr>
          <w:rFonts w:ascii="Times New Roman"/>
          <w:b w:val="false"/>
          <w:i w:val="false"/>
          <w:color w:val="000000"/>
          <w:sz w:val="28"/>
        </w:rPr>
        <w:t>
      4) достаточность суммы требуемого капитала для покрытия валютного риска;</w:t>
      </w:r>
    </w:p>
    <w:bookmarkEnd w:id="5"/>
    <w:bookmarkStart w:name="z597" w:id="6"/>
    <w:p>
      <w:pPr>
        <w:spacing w:after="0"/>
        <w:ind w:left="0"/>
        <w:jc w:val="both"/>
      </w:pPr>
      <w:r>
        <w:rPr>
          <w:rFonts w:ascii="Times New Roman"/>
          <w:b w:val="false"/>
          <w:i w:val="false"/>
          <w:color w:val="000000"/>
          <w:sz w:val="28"/>
        </w:rPr>
        <w:t>
      5) увеличение общего суммарного размещения в ценные бумаги (с учетом операций "обратное РЕПО"), вклады и деньги (за вычетом резерва по сомнительным долгам) в банках второго уровня, имеющих долгосрочный кредитный рейтинг "В-" и ниже по международной шкале агентства Standard &amp; Poor's или рейтинг аналогичного уровня агентств Moody's Investors Service или Fitch (далее - другие рейтинговые агентства), и аффилиированных лицах данных банков;</w:t>
      </w:r>
    </w:p>
    <w:bookmarkEnd w:id="6"/>
    <w:bookmarkStart w:name="z598" w:id="7"/>
    <w:p>
      <w:pPr>
        <w:spacing w:after="0"/>
        <w:ind w:left="0"/>
        <w:jc w:val="both"/>
      </w:pPr>
      <w:r>
        <w:rPr>
          <w:rFonts w:ascii="Times New Roman"/>
          <w:b w:val="false"/>
          <w:i w:val="false"/>
          <w:color w:val="000000"/>
          <w:sz w:val="28"/>
        </w:rPr>
        <w:t>
      6) увеличение суммарного размещения в ценные бумаги (с учетом операций "обратное РЕПО"), вклады и деньги (за вычетом резерва по сомнительным долгам) в одном банке второго уровня, имеющем долгосрочный кредитный рейтинг "В-" и ниже по международной шкале агентства Standard &amp; Poor's или рейтинг аналогичного уровня одного из других рейтинговых агентств, и аффилиированных лицах данного банка;</w:t>
      </w:r>
    </w:p>
    <w:bookmarkEnd w:id="7"/>
    <w:bookmarkStart w:name="z599" w:id="8"/>
    <w:p>
      <w:pPr>
        <w:spacing w:after="0"/>
        <w:ind w:left="0"/>
        <w:jc w:val="both"/>
      </w:pPr>
      <w:r>
        <w:rPr>
          <w:rFonts w:ascii="Times New Roman"/>
          <w:b w:val="false"/>
          <w:i w:val="false"/>
          <w:color w:val="000000"/>
          <w:sz w:val="28"/>
        </w:rPr>
        <w:t>
      7) убыточная деятельность страховой (перестраховочной) организации;</w:t>
      </w:r>
    </w:p>
    <w:bookmarkEnd w:id="8"/>
    <w:bookmarkStart w:name="z600" w:id="9"/>
    <w:p>
      <w:pPr>
        <w:spacing w:after="0"/>
        <w:ind w:left="0"/>
        <w:jc w:val="both"/>
      </w:pPr>
      <w:r>
        <w:rPr>
          <w:rFonts w:ascii="Times New Roman"/>
          <w:b w:val="false"/>
          <w:i w:val="false"/>
          <w:color w:val="000000"/>
          <w:sz w:val="28"/>
        </w:rPr>
        <w:t>
      8) увеличение комбинированного коэффициента без учета доли перестраховщика;</w:t>
      </w:r>
    </w:p>
    <w:bookmarkEnd w:id="9"/>
    <w:bookmarkStart w:name="z601" w:id="10"/>
    <w:p>
      <w:pPr>
        <w:spacing w:after="0"/>
        <w:ind w:left="0"/>
        <w:jc w:val="both"/>
      </w:pPr>
      <w:r>
        <w:rPr>
          <w:rFonts w:ascii="Times New Roman"/>
          <w:b w:val="false"/>
          <w:i w:val="false"/>
          <w:color w:val="000000"/>
          <w:sz w:val="28"/>
        </w:rPr>
        <w:t>
      9) превышение соотношения суммы общих и административных расходов, расходов по выплате комиссионного вознаграждения по страховой деятельности и прочих расходов к сумме доходов страховой (перестраховочной) организации, уменьшенной на сумму расходов, связанных с расторжением договора страхования (перестрахования);</w:t>
      </w:r>
    </w:p>
    <w:bookmarkEnd w:id="10"/>
    <w:bookmarkStart w:name="z602" w:id="11"/>
    <w:p>
      <w:pPr>
        <w:spacing w:after="0"/>
        <w:ind w:left="0"/>
        <w:jc w:val="both"/>
      </w:pPr>
      <w:r>
        <w:rPr>
          <w:rFonts w:ascii="Times New Roman"/>
          <w:b w:val="false"/>
          <w:i w:val="false"/>
          <w:color w:val="000000"/>
          <w:sz w:val="28"/>
        </w:rPr>
        <w:t>
      10) превышение соотношения общей суммы просроченной дебиторской задолженности по договорам страхования и перестрахования (за вычетом резервов на обесценение) к сумме активов страховой (перестраховочной) организации за минусом активов перестрахования;</w:t>
      </w:r>
    </w:p>
    <w:bookmarkEnd w:id="11"/>
    <w:bookmarkStart w:name="z603" w:id="12"/>
    <w:p>
      <w:pPr>
        <w:spacing w:after="0"/>
        <w:ind w:left="0"/>
        <w:jc w:val="both"/>
      </w:pPr>
      <w:r>
        <w:rPr>
          <w:rFonts w:ascii="Times New Roman"/>
          <w:b w:val="false"/>
          <w:i w:val="false"/>
          <w:color w:val="000000"/>
          <w:sz w:val="28"/>
        </w:rPr>
        <w:t>
      11) коэффициент низкой убыточности при высокой доле страховых премий по классу страхования;</w:t>
      </w:r>
    </w:p>
    <w:bookmarkEnd w:id="12"/>
    <w:bookmarkStart w:name="z604" w:id="13"/>
    <w:p>
      <w:pPr>
        <w:spacing w:after="0"/>
        <w:ind w:left="0"/>
        <w:jc w:val="both"/>
      </w:pPr>
      <w:r>
        <w:rPr>
          <w:rFonts w:ascii="Times New Roman"/>
          <w:b w:val="false"/>
          <w:i w:val="false"/>
          <w:color w:val="000000"/>
          <w:sz w:val="28"/>
        </w:rPr>
        <w:t>
      12) превышение коэффициента жалоб страхователей (выгодоприобретателей).</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27.01.2026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2. Установить следующие факторы, влияющие на ухудшение финансового положения страховой группы:</w:t>
      </w:r>
    </w:p>
    <w:bookmarkEnd w:id="14"/>
    <w:bookmarkStart w:name="z586" w:id="15"/>
    <w:p>
      <w:pPr>
        <w:spacing w:after="0"/>
        <w:ind w:left="0"/>
        <w:jc w:val="both"/>
      </w:pPr>
      <w:r>
        <w:rPr>
          <w:rFonts w:ascii="Times New Roman"/>
          <w:b w:val="false"/>
          <w:i w:val="false"/>
          <w:color w:val="000000"/>
          <w:sz w:val="28"/>
        </w:rPr>
        <w:t>
      1) снижение норматива достаточности маржи платежеспособности страховой группы;</w:t>
      </w:r>
    </w:p>
    <w:bookmarkEnd w:id="15"/>
    <w:bookmarkStart w:name="z587" w:id="16"/>
    <w:p>
      <w:pPr>
        <w:spacing w:after="0"/>
        <w:ind w:left="0"/>
        <w:jc w:val="both"/>
      </w:pPr>
      <w:r>
        <w:rPr>
          <w:rFonts w:ascii="Times New Roman"/>
          <w:b w:val="false"/>
          <w:i w:val="false"/>
          <w:color w:val="000000"/>
          <w:sz w:val="28"/>
        </w:rPr>
        <w:t>
      2) убыточная деятельность страховой группы;</w:t>
      </w:r>
    </w:p>
    <w:bookmarkEnd w:id="16"/>
    <w:bookmarkStart w:name="z588" w:id="17"/>
    <w:p>
      <w:pPr>
        <w:spacing w:after="0"/>
        <w:ind w:left="0"/>
        <w:jc w:val="both"/>
      </w:pPr>
      <w:r>
        <w:rPr>
          <w:rFonts w:ascii="Times New Roman"/>
          <w:b w:val="false"/>
          <w:i w:val="false"/>
          <w:color w:val="000000"/>
          <w:sz w:val="28"/>
        </w:rPr>
        <w:t>
      3) превышение объема сделок между участниками страховой группы.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 w:id="18"/>
    <w:p>
      <w:pPr>
        <w:spacing w:after="0"/>
        <w:ind w:left="0"/>
        <w:jc w:val="both"/>
      </w:pPr>
      <w:r>
        <w:rPr>
          <w:rFonts w:ascii="Times New Roman"/>
          <w:b w:val="false"/>
          <w:i w:val="false"/>
          <w:color w:val="000000"/>
          <w:sz w:val="28"/>
        </w:rPr>
        <w:t>
      3. Утвердить:</w:t>
      </w:r>
    </w:p>
    <w:bookmarkEnd w:id="18"/>
    <w:bookmarkStart w:name="z18" w:id="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одобрения плана мероприятий, предусматривающего меры раннего реагирования, согласно приложению 1 к настоящему постановлению;</w:t>
      </w:r>
    </w:p>
    <w:bookmarkEnd w:id="19"/>
    <w:bookmarkStart w:name="z19" w:id="20"/>
    <w:p>
      <w:pPr>
        <w:spacing w:after="0"/>
        <w:ind w:left="0"/>
        <w:jc w:val="both"/>
      </w:pPr>
      <w:r>
        <w:rPr>
          <w:rFonts w:ascii="Times New Roman"/>
          <w:b w:val="false"/>
          <w:i w:val="false"/>
          <w:color w:val="000000"/>
          <w:sz w:val="28"/>
        </w:rPr>
        <w:t>
      2) Методику определения факторов, влияющих на ухудшение финансового положения страховой (перестраховочной) организации (страховой группы) и филиала страховой (перестраховочной) организации – нерезидента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к настоящему постановлению.</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постановлениями Правления Национального Банка РК от 29.10.2018 </w:t>
      </w:r>
      <w:r>
        <w:rPr>
          <w:rFonts w:ascii="Times New Roman"/>
          <w:b w:val="false"/>
          <w:i w:val="false"/>
          <w:color w:val="000000"/>
          <w:sz w:val="28"/>
        </w:rPr>
        <w:t>№ 246</w:t>
      </w:r>
      <w:r>
        <w:rPr>
          <w:rFonts w:ascii="Times New Roman"/>
          <w:b w:val="false"/>
          <w:i w:val="false"/>
          <w:color w:val="ff0000"/>
          <w:sz w:val="28"/>
        </w:rPr>
        <w:t xml:space="preserve"> (вводится в действие с 01.01.2019); от 12.02.2021 </w:t>
      </w:r>
      <w:r>
        <w:rPr>
          <w:rFonts w:ascii="Times New Roman"/>
          <w:b w:val="false"/>
          <w:i w:val="false"/>
          <w:color w:val="000000"/>
          <w:sz w:val="28"/>
        </w:rPr>
        <w:t>№ 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63" w:id="21"/>
    <w:p>
      <w:pPr>
        <w:spacing w:after="0"/>
        <w:ind w:left="0"/>
        <w:jc w:val="both"/>
      </w:pPr>
      <w:r>
        <w:rPr>
          <w:rFonts w:ascii="Times New Roman"/>
          <w:b w:val="false"/>
          <w:i w:val="false"/>
          <w:color w:val="000000"/>
          <w:sz w:val="28"/>
        </w:rPr>
        <w:t>
      3-1. Установить следующие факторы, влияющие на ухудшение финансового положения филиала страховой (перестраховочной) организации – нерезидента Республики Казахстан:</w:t>
      </w:r>
    </w:p>
    <w:bookmarkEnd w:id="21"/>
    <w:bookmarkStart w:name="z564" w:id="22"/>
    <w:p>
      <w:pPr>
        <w:spacing w:after="0"/>
        <w:ind w:left="0"/>
        <w:jc w:val="both"/>
      </w:pPr>
      <w:r>
        <w:rPr>
          <w:rFonts w:ascii="Times New Roman"/>
          <w:b w:val="false"/>
          <w:i w:val="false"/>
          <w:color w:val="000000"/>
          <w:sz w:val="28"/>
        </w:rPr>
        <w:t>
      1) снижение норматива достаточности маржи платежеспособности филиала страховой (перестраховочной) организации – нерезидента Республики Казахстан;</w:t>
      </w:r>
    </w:p>
    <w:bookmarkEnd w:id="22"/>
    <w:bookmarkStart w:name="z565" w:id="23"/>
    <w:p>
      <w:pPr>
        <w:spacing w:after="0"/>
        <w:ind w:left="0"/>
        <w:jc w:val="both"/>
      </w:pPr>
      <w:r>
        <w:rPr>
          <w:rFonts w:ascii="Times New Roman"/>
          <w:b w:val="false"/>
          <w:i w:val="false"/>
          <w:color w:val="000000"/>
          <w:sz w:val="28"/>
        </w:rPr>
        <w:t>
      2) снижение норматива достаточности высоколиквидных активов филиала страховой (перестраховочной) организации – нерезидента Республики Казахстан.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3-1 в соответствии с постановлением Правления Агентства РК по регулированию и развитию финансового рынка от 12.02.2021 </w:t>
      </w:r>
      <w:r>
        <w:rPr>
          <w:rFonts w:ascii="Times New Roman"/>
          <w:b w:val="false"/>
          <w:i w:val="false"/>
          <w:color w:val="000000"/>
          <w:sz w:val="28"/>
        </w:rPr>
        <w:t>№ 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0" w:id="24"/>
    <w:p>
      <w:pPr>
        <w:spacing w:after="0"/>
        <w:ind w:left="0"/>
        <w:jc w:val="both"/>
      </w:pPr>
      <w:r>
        <w:rPr>
          <w:rFonts w:ascii="Times New Roman"/>
          <w:b w:val="false"/>
          <w:i w:val="false"/>
          <w:color w:val="000000"/>
          <w:sz w:val="28"/>
        </w:rPr>
        <w:t>
      4. Признать утратившими силу:</w:t>
      </w:r>
    </w:p>
    <w:bookmarkEnd w:id="24"/>
    <w:bookmarkStart w:name="z21" w:id="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2013 года № 233 "Об утверждении Правил применения мер раннего реагирования и методики определения факторов, влияющих на ухудшение финансового положения страховой (перестраховочной) организации (страховой группы)" (зарегистрировано в Реестре государственной регистрации нормативных правовых актов под № 8804, опубликовано 14 ноября 2013 года в газете "Юридическая газета" № 171 (2546);</w:t>
      </w:r>
    </w:p>
    <w:bookmarkEnd w:id="25"/>
    <w:bookmarkStart w:name="z22" w:id="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21</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страховой деятельности, в которые вносятся изменения, утвержденного постановлением Правления Национального Банка Республики Казахстан от 30 мая 2016 года № 127 "О внесении изменений в некоторые нормативные правовые акты Республики Казахстан по вопросам регулирования страховой деятельности" (зарегистрировано в Реестре государственной регистрации нормативных правовых актов под № 14277, опубликовано 24 октября 2016 года в информационно-правовой системе "Әділет").</w:t>
      </w:r>
    </w:p>
    <w:bookmarkEnd w:id="26"/>
    <w:bookmarkStart w:name="z23" w:id="27"/>
    <w:p>
      <w:pPr>
        <w:spacing w:after="0"/>
        <w:ind w:left="0"/>
        <w:jc w:val="both"/>
      </w:pPr>
      <w:r>
        <w:rPr>
          <w:rFonts w:ascii="Times New Roman"/>
          <w:b w:val="false"/>
          <w:i w:val="false"/>
          <w:color w:val="000000"/>
          <w:sz w:val="28"/>
        </w:rPr>
        <w:t>
      5. Департаменту регулирования небанковских финансовых организаций (Шайкакова Г.Ж.) в установленном законодательством Республики Казахстан порядке обеспечить:</w:t>
      </w:r>
    </w:p>
    <w:bookmarkEnd w:id="27"/>
    <w:bookmarkStart w:name="z24" w:id="28"/>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28"/>
    <w:bookmarkStart w:name="z25" w:id="2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29"/>
    <w:bookmarkStart w:name="z26" w:id="30"/>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30"/>
    <w:bookmarkStart w:name="z27" w:id="31"/>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6 настоящего постановления.</w:t>
      </w:r>
    </w:p>
    <w:bookmarkEnd w:id="31"/>
    <w:bookmarkStart w:name="z28" w:id="32"/>
    <w:p>
      <w:pPr>
        <w:spacing w:after="0"/>
        <w:ind w:left="0"/>
        <w:jc w:val="both"/>
      </w:pPr>
      <w:r>
        <w:rPr>
          <w:rFonts w:ascii="Times New Roman"/>
          <w:b w:val="false"/>
          <w:i w:val="false"/>
          <w:color w:val="000000"/>
          <w:sz w:val="28"/>
        </w:rPr>
        <w:t>
      6.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32"/>
    <w:bookmarkStart w:name="z29" w:id="33"/>
    <w:p>
      <w:pPr>
        <w:spacing w:after="0"/>
        <w:ind w:left="0"/>
        <w:jc w:val="both"/>
      </w:pPr>
      <w:r>
        <w:rPr>
          <w:rFonts w:ascii="Times New Roman"/>
          <w:b w:val="false"/>
          <w:i w:val="false"/>
          <w:color w:val="000000"/>
          <w:sz w:val="28"/>
        </w:rPr>
        <w:t>
      7.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33"/>
    <w:bookmarkStart w:name="z30" w:id="34"/>
    <w:p>
      <w:pPr>
        <w:spacing w:after="0"/>
        <w:ind w:left="0"/>
        <w:jc w:val="both"/>
      </w:pPr>
      <w:r>
        <w:rPr>
          <w:rFonts w:ascii="Times New Roman"/>
          <w:b w:val="false"/>
          <w:i w:val="false"/>
          <w:color w:val="000000"/>
          <w:sz w:val="28"/>
        </w:rPr>
        <w:t>
      8. Настоящее постановление вводится в действие по истечении десяти календарных дней после дня его первого официального опубликования.</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2018 года № 75</w:t>
            </w:r>
          </w:p>
        </w:tc>
      </w:tr>
    </w:tbl>
    <w:bookmarkStart w:name="z33" w:id="35"/>
    <w:p>
      <w:pPr>
        <w:spacing w:after="0"/>
        <w:ind w:left="0"/>
        <w:jc w:val="left"/>
      </w:pPr>
      <w:r>
        <w:rPr>
          <w:rFonts w:ascii="Times New Roman"/>
          <w:b/>
          <w:i w:val="false"/>
          <w:color w:val="000000"/>
        </w:rPr>
        <w:t xml:space="preserve"> Правила одобрения плана мероприятий, предусматривающего меры раннего реагирования</w:t>
      </w:r>
    </w:p>
    <w:bookmarkEnd w:id="35"/>
    <w:p>
      <w:pPr>
        <w:spacing w:after="0"/>
        <w:ind w:left="0"/>
        <w:jc w:val="both"/>
      </w:pPr>
      <w:r>
        <w:rPr>
          <w:rFonts w:ascii="Times New Roman"/>
          <w:b w:val="false"/>
          <w:i w:val="false"/>
          <w:color w:val="ff0000"/>
          <w:sz w:val="28"/>
        </w:rPr>
        <w:t xml:space="preserve">
      Сноска. Правила в редакции постановления Правления Агентства РК по регулированию и развитию финансового рынка от 12.02.2021 </w:t>
      </w:r>
      <w:r>
        <w:rPr>
          <w:rFonts w:ascii="Times New Roman"/>
          <w:b w:val="false"/>
          <w:i w:val="false"/>
          <w:color w:val="ff0000"/>
          <w:sz w:val="28"/>
        </w:rPr>
        <w:t>№ 28</w:t>
      </w:r>
      <w:r>
        <w:rPr>
          <w:rFonts w:ascii="Times New Roman"/>
          <w:b w:val="false"/>
          <w:i w:val="false"/>
          <w:color w:val="ff0000"/>
          <w:sz w:val="28"/>
        </w:rPr>
        <w:t xml:space="preserve"> (вводится в действие со дня его первого официального опубликования).</w:t>
      </w:r>
    </w:p>
    <w:bookmarkStart w:name="z566" w:id="36"/>
    <w:p>
      <w:pPr>
        <w:spacing w:after="0"/>
        <w:ind w:left="0"/>
        <w:jc w:val="both"/>
      </w:pPr>
      <w:r>
        <w:rPr>
          <w:rFonts w:ascii="Times New Roman"/>
          <w:b w:val="false"/>
          <w:i w:val="false"/>
          <w:color w:val="000000"/>
          <w:sz w:val="28"/>
        </w:rPr>
        <w:t xml:space="preserve">
      1. Настоящие Правила одобрения плана мероприятий, предусматривающего меры раннего реагирования,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53 Закона Республики Казахстан "О страховой деятельности" (далее - Закон) и определяют порядок одобрения уполномоченным органом по регулированию, контролю и надзору финансового рынка и финансовых организаций (далее - уполномоченный орган) плана мероприятий страховой (перестраховочной) организации и (или) ее акционеров, страхового холдинга и (или) его крупных участников, филиала страховой (перестраховочной) организации - нерезидента Республики Казахстан и (или) его родительской страховой (перестраховочной) организации - нерезидента Республики Казахстан, предусматривающего меры раннего реагирования по повышению финансовой устойчивости страховой (перестраховочной) организации (страховой группы), филиала страховой (перестраховочной) организации - нерезидента Республики Казахстан, недопущению ухудшения ее финансового положения и увеличения рисков, связанных со страховой деятельностью (деятельностью страховой группы) (далее - план мероприятий).</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27.01.2026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7" w:id="37"/>
    <w:p>
      <w:pPr>
        <w:spacing w:after="0"/>
        <w:ind w:left="0"/>
        <w:jc w:val="both"/>
      </w:pPr>
      <w:r>
        <w:rPr>
          <w:rFonts w:ascii="Times New Roman"/>
          <w:b w:val="false"/>
          <w:i w:val="false"/>
          <w:color w:val="000000"/>
          <w:sz w:val="28"/>
        </w:rPr>
        <w:t>
      2. Страховая (перестраховочная) организация и (или) ее акционеры, страховой холдинг и (или) его крупные участники, филиал страховой (перестраховочной) организации – нерезидента Республики Казахстан и (или) его родительская страховая (перестраховочная) организация - нерезидент Республики Казахстан разрабатывают и представляют в уполномоченный орган для одобрения план мероприятий.</w:t>
      </w:r>
    </w:p>
    <w:bookmarkEnd w:id="37"/>
    <w:bookmarkStart w:name="z568" w:id="38"/>
    <w:p>
      <w:pPr>
        <w:spacing w:after="0"/>
        <w:ind w:left="0"/>
        <w:jc w:val="both"/>
      </w:pPr>
      <w:r>
        <w:rPr>
          <w:rFonts w:ascii="Times New Roman"/>
          <w:b w:val="false"/>
          <w:i w:val="false"/>
          <w:color w:val="000000"/>
          <w:sz w:val="28"/>
        </w:rPr>
        <w:t>
      План мероприятий, не ограничиваясь нижеследующим, содержит следующую информацию:</w:t>
      </w:r>
    </w:p>
    <w:bookmarkEnd w:id="38"/>
    <w:bookmarkStart w:name="z569" w:id="39"/>
    <w:p>
      <w:pPr>
        <w:spacing w:after="0"/>
        <w:ind w:left="0"/>
        <w:jc w:val="both"/>
      </w:pPr>
      <w:r>
        <w:rPr>
          <w:rFonts w:ascii="Times New Roman"/>
          <w:b w:val="false"/>
          <w:i w:val="false"/>
          <w:color w:val="000000"/>
          <w:sz w:val="28"/>
        </w:rPr>
        <w:t>
      детальный анализ фактора, влияющего на ухудшение финансового положения страховой (перестраховочной) организации (страховой группы), филиала страховой (перестраховочной) организации – нерезидента Республики Казахстан;</w:t>
      </w:r>
    </w:p>
    <w:bookmarkEnd w:id="39"/>
    <w:bookmarkStart w:name="z570" w:id="40"/>
    <w:p>
      <w:pPr>
        <w:spacing w:after="0"/>
        <w:ind w:left="0"/>
        <w:jc w:val="both"/>
      </w:pPr>
      <w:r>
        <w:rPr>
          <w:rFonts w:ascii="Times New Roman"/>
          <w:b w:val="false"/>
          <w:i w:val="false"/>
          <w:color w:val="000000"/>
          <w:sz w:val="28"/>
        </w:rPr>
        <w:t>
      прогноз фактора, влияющего на ухудшение финансового положения страховой (перестраховочной) организации (страховой группы), филиала страховой (перестраховочной) организации – нерезидента Республики Казахстан, требующий достижения количественных показателей на ежемесячной основе, обоснование данного прогноза и негативные влияния на деятельность страховой (перестраховочной) организации (страховой группы), филиала страховой (перестраховочной) организации – нерезидента Республики Казахстан;</w:t>
      </w:r>
    </w:p>
    <w:bookmarkEnd w:id="40"/>
    <w:bookmarkStart w:name="z571" w:id="41"/>
    <w:p>
      <w:pPr>
        <w:spacing w:after="0"/>
        <w:ind w:left="0"/>
        <w:jc w:val="both"/>
      </w:pPr>
      <w:r>
        <w:rPr>
          <w:rFonts w:ascii="Times New Roman"/>
          <w:b w:val="false"/>
          <w:i w:val="false"/>
          <w:color w:val="000000"/>
          <w:sz w:val="28"/>
        </w:rPr>
        <w:t>
      меры по улучшению фактора, влияющего на ухудшение финансового положения страховой (перестраховочной) организации (страховой группы), филиала страховой (перестраховочной) организации – нерезидента Республики Казахстан, доведению до уровня, не представляющего угрозу (дополнительных рисков) для деятельности страховой (перестраховочной) организации (страховой группы), филиала страховой (перестраховочной) организации – нерезидента Республики Казахстан;</w:t>
      </w:r>
    </w:p>
    <w:bookmarkEnd w:id="41"/>
    <w:bookmarkStart w:name="z572" w:id="42"/>
    <w:p>
      <w:pPr>
        <w:spacing w:after="0"/>
        <w:ind w:left="0"/>
        <w:jc w:val="both"/>
      </w:pPr>
      <w:r>
        <w:rPr>
          <w:rFonts w:ascii="Times New Roman"/>
          <w:b w:val="false"/>
          <w:i w:val="false"/>
          <w:color w:val="000000"/>
          <w:sz w:val="28"/>
        </w:rPr>
        <w:t>
      сроки исполнения плана мероприятий по каждому его пункту;</w:t>
      </w:r>
    </w:p>
    <w:bookmarkEnd w:id="42"/>
    <w:bookmarkStart w:name="z573" w:id="43"/>
    <w:p>
      <w:pPr>
        <w:spacing w:after="0"/>
        <w:ind w:left="0"/>
        <w:jc w:val="both"/>
      </w:pPr>
      <w:r>
        <w:rPr>
          <w:rFonts w:ascii="Times New Roman"/>
          <w:b w:val="false"/>
          <w:i w:val="false"/>
          <w:color w:val="000000"/>
          <w:sz w:val="28"/>
        </w:rPr>
        <w:t>
      перечень руководящих работников, ответственных за исполнение плана мероприятий (с указанием руководящих работников, ответственных за исполнение по каждому пункту плана мероприятий).</w:t>
      </w:r>
    </w:p>
    <w:bookmarkEnd w:id="43"/>
    <w:bookmarkStart w:name="z574" w:id="44"/>
    <w:p>
      <w:pPr>
        <w:spacing w:after="0"/>
        <w:ind w:left="0"/>
        <w:jc w:val="both"/>
      </w:pPr>
      <w:r>
        <w:rPr>
          <w:rFonts w:ascii="Times New Roman"/>
          <w:b w:val="false"/>
          <w:i w:val="false"/>
          <w:color w:val="000000"/>
          <w:sz w:val="28"/>
        </w:rPr>
        <w:t>
      В случае, если мероприятия предусматривают получение денег, указываются предполагаемый размер и источники их получения.</w:t>
      </w:r>
    </w:p>
    <w:bookmarkEnd w:id="44"/>
    <w:bookmarkStart w:name="z575" w:id="45"/>
    <w:p>
      <w:pPr>
        <w:spacing w:after="0"/>
        <w:ind w:left="0"/>
        <w:jc w:val="both"/>
      </w:pPr>
      <w:r>
        <w:rPr>
          <w:rFonts w:ascii="Times New Roman"/>
          <w:b w:val="false"/>
          <w:i w:val="false"/>
          <w:color w:val="000000"/>
          <w:sz w:val="28"/>
        </w:rPr>
        <w:t>
      Уполномоченный орган рассматривает план мероприятий, представленный страховой (перестраховочной) организацией и (или) ее акционерами, страховым холдингом и (или) его крупными участниками, филиалом страховой (перестраховочной) организации – нерезидента Республики Казахстан и (или) его родительской страховой (перестраховочной) организацией - нерезидентом Республики Казахстан.</w:t>
      </w:r>
    </w:p>
    <w:bookmarkEnd w:id="45"/>
    <w:bookmarkStart w:name="z576" w:id="46"/>
    <w:p>
      <w:pPr>
        <w:spacing w:after="0"/>
        <w:ind w:left="0"/>
        <w:jc w:val="both"/>
      </w:pPr>
      <w:r>
        <w:rPr>
          <w:rFonts w:ascii="Times New Roman"/>
          <w:b w:val="false"/>
          <w:i w:val="false"/>
          <w:color w:val="000000"/>
          <w:sz w:val="28"/>
        </w:rPr>
        <w:t>
      При несогласии уполномоченного органа с планом мероприятий, предоставленным страховой (перестраховочной) организацией и (или) ее акционерами, страховым холдингом и (или) его крупными участниками, филиалом страховой (перестраховочной) организации – нерезидента Республики Казахстан и (или) его родительской страховой (перестраховочной) организацией - нерезидентом Республики Казахстан на рассмотрение, уполномоченный орган направляет по нему письменные замечания либо проводит совместные обсуждения со страховой (перестраховочной) организацией и (или) ее акционерами, страховым холдингом и (или) его крупными участниками, филиалом страховой (перестраховочной) организации – нерезидента Республики Казахстан и (или) его родительской страховой (перестраховочной) организацией - нерезидентом Республики Казахстан с целью доработки плана мероприятий. При этом страховая (перестраховочная) организация и (или) ее акционеры, страховой холдинг и (или) его крупные участники, филиал страховой (перестраховочной) организации – нерезидента Республики Казахстан и (или) его родительская страховая (перестраховочная) организация – нерезидент Республики Казахстан корректируют план мероприятий для устранения замечаний уполномоченного органа или при несогласии с такими замечаниями предоставляют свои обоснования.</w:t>
      </w:r>
    </w:p>
    <w:bookmarkEnd w:id="46"/>
    <w:bookmarkStart w:name="z577" w:id="47"/>
    <w:p>
      <w:pPr>
        <w:spacing w:after="0"/>
        <w:ind w:left="0"/>
        <w:jc w:val="both"/>
      </w:pPr>
      <w:r>
        <w:rPr>
          <w:rFonts w:ascii="Times New Roman"/>
          <w:b w:val="false"/>
          <w:i w:val="false"/>
          <w:color w:val="000000"/>
          <w:sz w:val="28"/>
        </w:rPr>
        <w:t>
      Уполномоченный орган в письменной форме одобряет или не одобряет план мероприятий, представленный страховой (перестраховочной) организацией и (или) ее акционерами, страховым холдингом и (или) его крупными участниками, филиалом страховой (перестраховочной) организации – нерезидента Республики Казахстан и (или) его родительской страховой (перестраховочной) организацией - нерезидентом Республики Казахстан.</w:t>
      </w:r>
    </w:p>
    <w:bookmarkEnd w:id="47"/>
    <w:bookmarkStart w:name="z578" w:id="48"/>
    <w:p>
      <w:pPr>
        <w:spacing w:after="0"/>
        <w:ind w:left="0"/>
        <w:jc w:val="both"/>
      </w:pPr>
      <w:r>
        <w:rPr>
          <w:rFonts w:ascii="Times New Roman"/>
          <w:b w:val="false"/>
          <w:i w:val="false"/>
          <w:color w:val="000000"/>
          <w:sz w:val="28"/>
        </w:rPr>
        <w:t xml:space="preserve">
      3. В случае самостоятельного выявления факторов, влияющих на ухудшение финансового положения страховой (перестраховочной) организации (страховой группы), филиала страховой (перестраховочной) организации – нерезидента Республики Казахстан, страховая (перестраховочная) организация и (или) ее акционеры, страховой холдинг и (или) его крупные участники, филиал страховой (перестраховочной) организации – нерезидента Республики Казахстан и (или) его родительская страховая (перестраховочная) организация - нерезидент Республики Казахстан в течение 5 (пяти) рабочих дней со дня выявления указанных факторов представляют в уполномоченный орган план мероприятий, предусмотренный частью второй </w:t>
      </w:r>
      <w:r>
        <w:rPr>
          <w:rFonts w:ascii="Times New Roman"/>
          <w:b w:val="false"/>
          <w:i w:val="false"/>
          <w:color w:val="000000"/>
          <w:sz w:val="28"/>
        </w:rPr>
        <w:t>пункта 2</w:t>
      </w:r>
      <w:r>
        <w:rPr>
          <w:rFonts w:ascii="Times New Roman"/>
          <w:b w:val="false"/>
          <w:i w:val="false"/>
          <w:color w:val="000000"/>
          <w:sz w:val="28"/>
        </w:rPr>
        <w:t xml:space="preserve"> Правил.</w:t>
      </w:r>
    </w:p>
    <w:bookmarkEnd w:id="48"/>
    <w:bookmarkStart w:name="z579" w:id="49"/>
    <w:p>
      <w:pPr>
        <w:spacing w:after="0"/>
        <w:ind w:left="0"/>
        <w:jc w:val="both"/>
      </w:pPr>
      <w:r>
        <w:rPr>
          <w:rFonts w:ascii="Times New Roman"/>
          <w:b w:val="false"/>
          <w:i w:val="false"/>
          <w:color w:val="000000"/>
          <w:sz w:val="28"/>
        </w:rPr>
        <w:t>
      4. При выявлении факторов, влияющих на ухудшение финансового положения страховой (перестраховочной) организации, представление плана мероприятий не требуется по страховым (перестраховочным) организациям, в отношении которых действуют меры по улучшению финансового состояния и (или) минимизации рисков в форме письменного соглашения или плана мероприятий, представленного в рамках письменного предписания, примененные в связи с нарушением пруденциальных нормативов и других обязательных к соблюдению норм и лимитов, санкции в виде приостановления действия лицензии по всем классам страхования, консервации, принудительного выкупа акций, а также в случае подачи в уполномоченный орган ходатайства на получение разрешения на проведение добровольной реорганизации либо ликвидации страховой (перестраховочной) организации.</w:t>
      </w:r>
    </w:p>
    <w:bookmarkEnd w:id="49"/>
    <w:bookmarkStart w:name="z580" w:id="50"/>
    <w:p>
      <w:pPr>
        <w:spacing w:after="0"/>
        <w:ind w:left="0"/>
        <w:jc w:val="both"/>
      </w:pPr>
      <w:r>
        <w:rPr>
          <w:rFonts w:ascii="Times New Roman"/>
          <w:b w:val="false"/>
          <w:i w:val="false"/>
          <w:color w:val="000000"/>
          <w:sz w:val="28"/>
        </w:rPr>
        <w:t>
      5. При выявлении факторов, влияющих на ухудшение финансового положения филиала страховой (перестраховочной) организации – нерезидента Республики Казахстан, представление плана мероприятий не требуется по филиалам страховых (перестраховочных) организаций - нерезидентов Республики Казахстан, в отношении которых действуют меры по улучшению финансового состояния и (или) минимизации рисков в форме письменного соглашения или плана мероприятий, представленного в рамках письменного предписания, примененные в связи с нарушением пруденциальных нормативов и других обязательных к соблюдению норм и лимитов, санкции в виде приостановления действия лицензии по всем классам страхования, а также в случае подачи в уполномоченный орган ходатайства на получение разрешения на добровольное прекращение деятельности либо принудительное прекращение деятельности филиала страховой (перестраховочной) организации – нерезидента Республики Казахстан.</w:t>
      </w:r>
    </w:p>
    <w:bookmarkEnd w:id="50"/>
    <w:bookmarkStart w:name="z581" w:id="51"/>
    <w:p>
      <w:pPr>
        <w:spacing w:after="0"/>
        <w:ind w:left="0"/>
        <w:jc w:val="both"/>
      </w:pPr>
      <w:r>
        <w:rPr>
          <w:rFonts w:ascii="Times New Roman"/>
          <w:b w:val="false"/>
          <w:i w:val="false"/>
          <w:color w:val="000000"/>
          <w:sz w:val="28"/>
        </w:rPr>
        <w:t>
      6. Требования настоящих Правил не распространяются на страховую (перестраховочную) организацию, филиал страховой (перестраховочной) организации – нерезидента Республики Казахстан в течение шести месяцев с даты выдачи уполномоченным органом лицензии на право осуществления страховой деятельности и (или) деятельности по перестрахованию.</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2018 года № 75</w:t>
            </w:r>
          </w:p>
        </w:tc>
      </w:tr>
    </w:tbl>
    <w:bookmarkStart w:name="z57" w:id="52"/>
    <w:p>
      <w:pPr>
        <w:spacing w:after="0"/>
        <w:ind w:left="0"/>
        <w:jc w:val="left"/>
      </w:pPr>
      <w:r>
        <w:rPr>
          <w:rFonts w:ascii="Times New Roman"/>
          <w:b/>
          <w:i w:val="false"/>
          <w:color w:val="000000"/>
        </w:rPr>
        <w:t xml:space="preserve"> Методика определения факторов, влияющих на ухудшение финансового положения страховой (перестраховочной) организации (страховой группы) и филиала страховой (перестраховочной) организации - нерезидента Республики Казахстан</w:t>
      </w:r>
    </w:p>
    <w:bookmarkEnd w:id="52"/>
    <w:p>
      <w:pPr>
        <w:spacing w:after="0"/>
        <w:ind w:left="0"/>
        <w:jc w:val="both"/>
      </w:pPr>
      <w:r>
        <w:rPr>
          <w:rFonts w:ascii="Times New Roman"/>
          <w:b w:val="false"/>
          <w:i w:val="false"/>
          <w:color w:val="ff0000"/>
          <w:sz w:val="28"/>
        </w:rPr>
        <w:t xml:space="preserve">
      Сноска. Методика - в редакции постановления Правления Агентства РК по регулированию и развитию финансового рынка от 27.01.2026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5" w:id="53"/>
    <w:p>
      <w:pPr>
        <w:spacing w:after="0"/>
        <w:ind w:left="0"/>
        <w:jc w:val="both"/>
      </w:pPr>
      <w:r>
        <w:rPr>
          <w:rFonts w:ascii="Times New Roman"/>
          <w:b w:val="false"/>
          <w:i w:val="false"/>
          <w:color w:val="000000"/>
          <w:sz w:val="28"/>
        </w:rPr>
        <w:t xml:space="preserve">
      1. Настоящая Методика определения факторов, влияющих на ухудшение финансового положения страховой (перестраховочной) организации (страховой группы) и филиала страховой (перестраховочной) организации - нерезидента Республики Казахстан, разработана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53 Закона Республики Казахстан "О страховой деятельности" (далее - Закон).</w:t>
      </w:r>
    </w:p>
    <w:bookmarkEnd w:id="53"/>
    <w:bookmarkStart w:name="z606" w:id="54"/>
    <w:p>
      <w:pPr>
        <w:spacing w:after="0"/>
        <w:ind w:left="0"/>
        <w:jc w:val="both"/>
      </w:pPr>
      <w:r>
        <w:rPr>
          <w:rFonts w:ascii="Times New Roman"/>
          <w:b w:val="false"/>
          <w:i w:val="false"/>
          <w:color w:val="000000"/>
          <w:sz w:val="28"/>
        </w:rPr>
        <w:t>
      2. Определение факторов, влияющих на ухудшение финансового положения страховой (перестраховочной) организации, осуществляется по следующей методике:</w:t>
      </w:r>
    </w:p>
    <w:bookmarkEnd w:id="54"/>
    <w:bookmarkStart w:name="z607" w:id="55"/>
    <w:p>
      <w:pPr>
        <w:spacing w:after="0"/>
        <w:ind w:left="0"/>
        <w:jc w:val="both"/>
      </w:pPr>
      <w:r>
        <w:rPr>
          <w:rFonts w:ascii="Times New Roman"/>
          <w:b w:val="false"/>
          <w:i w:val="false"/>
          <w:color w:val="000000"/>
          <w:sz w:val="28"/>
        </w:rPr>
        <w:t xml:space="preserve">
      1) снижение значения норматива достаточности маржи платежеспособности ниже уровня, превышающего минимальное значение норматива достаточности маржи платежеспособности, установленное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(зарегистрировано в Реестре государственной регистрации нормативных правовых актов под № 14794) (далее - постановление № 304), на 0,1 пункта;</w:t>
      </w:r>
    </w:p>
    <w:bookmarkEnd w:id="55"/>
    <w:bookmarkStart w:name="z608" w:id="56"/>
    <w:p>
      <w:pPr>
        <w:spacing w:after="0"/>
        <w:ind w:left="0"/>
        <w:jc w:val="both"/>
      </w:pPr>
      <w:r>
        <w:rPr>
          <w:rFonts w:ascii="Times New Roman"/>
          <w:b w:val="false"/>
          <w:i w:val="false"/>
          <w:color w:val="000000"/>
          <w:sz w:val="28"/>
        </w:rPr>
        <w:t xml:space="preserve">
      2) снижение значение норматива достаточности высоколиквидных активов ниже уровня, превышающего минимальное значение норматива достаточности высоколиквидных активов, установленное </w:t>
      </w:r>
      <w:r>
        <w:rPr>
          <w:rFonts w:ascii="Times New Roman"/>
          <w:b w:val="false"/>
          <w:i w:val="false"/>
          <w:color w:val="000000"/>
          <w:sz w:val="28"/>
        </w:rPr>
        <w:t>постановлением № 304</w:t>
      </w:r>
      <w:r>
        <w:rPr>
          <w:rFonts w:ascii="Times New Roman"/>
          <w:b w:val="false"/>
          <w:i w:val="false"/>
          <w:color w:val="000000"/>
          <w:sz w:val="28"/>
        </w:rPr>
        <w:t>, на 0,2 пункта.</w:t>
      </w:r>
    </w:p>
    <w:bookmarkEnd w:id="56"/>
    <w:bookmarkStart w:name="z609" w:id="57"/>
    <w:p>
      <w:pPr>
        <w:spacing w:after="0"/>
        <w:ind w:left="0"/>
        <w:jc w:val="both"/>
      </w:pPr>
      <w:r>
        <w:rPr>
          <w:rFonts w:ascii="Times New Roman"/>
          <w:b w:val="false"/>
          <w:i w:val="false"/>
          <w:color w:val="000000"/>
          <w:sz w:val="28"/>
        </w:rPr>
        <w:t>
      Требование настоящего подпункта не распространяется на страховые (перестраховочные) организации, осуществляющие деятельность в отрасли "страхование жизни";</w:t>
      </w:r>
    </w:p>
    <w:bookmarkEnd w:id="57"/>
    <w:bookmarkStart w:name="z610" w:id="58"/>
    <w:p>
      <w:pPr>
        <w:spacing w:after="0"/>
        <w:ind w:left="0"/>
        <w:jc w:val="both"/>
      </w:pPr>
      <w:r>
        <w:rPr>
          <w:rFonts w:ascii="Times New Roman"/>
          <w:b w:val="false"/>
          <w:i w:val="false"/>
          <w:color w:val="000000"/>
          <w:sz w:val="28"/>
        </w:rPr>
        <w:t>
      3) снижение отношения стоимости высоколиквидных активов со сроком обращения до 1 (одного) года к сумме страховых резервов за минусом доли перестраховщика со сроком исполнения до 1 (одного) года значения 1,2 и (или) снижение отношения стоимости высоколиквидных активов со сроком обращения от 1 (одного) года до 5 (пяти) лет к сумме страховых резервов за минусом доли перестраховщика со сроком исполнения от 1 (одного) года до 5 (пяти) лет значения 1,05.</w:t>
      </w:r>
    </w:p>
    <w:bookmarkEnd w:id="58"/>
    <w:bookmarkStart w:name="z611" w:id="59"/>
    <w:p>
      <w:pPr>
        <w:spacing w:after="0"/>
        <w:ind w:left="0"/>
        <w:jc w:val="both"/>
      </w:pPr>
      <w:r>
        <w:rPr>
          <w:rFonts w:ascii="Times New Roman"/>
          <w:b w:val="false"/>
          <w:i w:val="false"/>
          <w:color w:val="000000"/>
          <w:sz w:val="28"/>
        </w:rPr>
        <w:t>
      Требование настоящего подпункта не распространяется на страховые (перестраховочные) организации, осуществляющие деятельность в отрасли "общее страхование".</w:t>
      </w:r>
    </w:p>
    <w:bookmarkEnd w:id="59"/>
    <w:bookmarkStart w:name="z612" w:id="60"/>
    <w:p>
      <w:pPr>
        <w:spacing w:after="0"/>
        <w:ind w:left="0"/>
        <w:jc w:val="both"/>
      </w:pPr>
      <w:r>
        <w:rPr>
          <w:rFonts w:ascii="Times New Roman"/>
          <w:b w:val="false"/>
          <w:i w:val="false"/>
          <w:color w:val="000000"/>
          <w:sz w:val="28"/>
        </w:rPr>
        <w:t xml:space="preserve">
      Распределение страховых резервов по срокам исполнения осуществляется в соответствии с требованиями </w:t>
      </w:r>
      <w:r>
        <w:rPr>
          <w:rFonts w:ascii="Times New Roman"/>
          <w:b w:val="false"/>
          <w:i w:val="false"/>
          <w:color w:val="000000"/>
          <w:sz w:val="28"/>
        </w:rPr>
        <w:t>приложения 25</w:t>
      </w:r>
      <w:r>
        <w:rPr>
          <w:rFonts w:ascii="Times New Roman"/>
          <w:b w:val="false"/>
          <w:i w:val="false"/>
          <w:color w:val="000000"/>
          <w:sz w:val="28"/>
        </w:rPr>
        <w:t xml:space="preserve"> к постановлению Правления Национального Банка Республики Казахстан от 31 декабря 2019 года № 275 "Об утверждении перечня, форм, сроков представления отчетности страховой (перестраховочной) организацией и страховым брокером и Правил ее представления" (зарегистрировано в Реестре государственной регистрации нормативных правовых актов под № 19927);</w:t>
      </w:r>
    </w:p>
    <w:bookmarkEnd w:id="60"/>
    <w:bookmarkStart w:name="z613" w:id="61"/>
    <w:p>
      <w:pPr>
        <w:spacing w:after="0"/>
        <w:ind w:left="0"/>
        <w:jc w:val="both"/>
      </w:pPr>
      <w:r>
        <w:rPr>
          <w:rFonts w:ascii="Times New Roman"/>
          <w:b w:val="false"/>
          <w:i w:val="false"/>
          <w:color w:val="000000"/>
          <w:sz w:val="28"/>
        </w:rPr>
        <w:t>
      4) превышение суммы требуемого капитала для покрытия валютного риска над разницей между значением фактической маржи платежеспособности, используемой в расчете норматива достаточности маржи платежеспособности, и значением минимального размера маржи платежеспособности на отчетную дату в течение 3 (трех) последовательных месяцев, определяемое по следующей формуле:</w:t>
      </w:r>
    </w:p>
    <w:bookmarkEnd w:id="61"/>
    <w:bookmarkStart w:name="z614"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2235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352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5" w:id="63"/>
    <w:p>
      <w:pPr>
        <w:spacing w:after="0"/>
        <w:ind w:left="0"/>
        <w:jc w:val="both"/>
      </w:pPr>
      <w:r>
        <w:rPr>
          <w:rFonts w:ascii="Times New Roman"/>
          <w:b w:val="false"/>
          <w:i w:val="false"/>
          <w:color w:val="000000"/>
          <w:sz w:val="28"/>
        </w:rPr>
        <w:t>
      Требуемый капитал для покрытия валютного риска по каждой иностранной валюте определяется по следующей формуле:</w:t>
      </w:r>
    </w:p>
    <w:bookmarkEnd w:id="63"/>
    <w:bookmarkStart w:name="z616"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193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304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7" w:id="65"/>
    <w:p>
      <w:pPr>
        <w:spacing w:after="0"/>
        <w:ind w:left="0"/>
        <w:jc w:val="both"/>
      </w:pPr>
      <w:r>
        <w:rPr>
          <w:rFonts w:ascii="Times New Roman"/>
          <w:b w:val="false"/>
          <w:i w:val="false"/>
          <w:color w:val="000000"/>
          <w:sz w:val="28"/>
        </w:rPr>
        <w:t>
      где:</w:t>
      </w:r>
    </w:p>
    <w:bookmarkEnd w:id="65"/>
    <w:bookmarkStart w:name="z618" w:id="66"/>
    <w:p>
      <w:pPr>
        <w:spacing w:after="0"/>
        <w:ind w:left="0"/>
        <w:jc w:val="both"/>
      </w:pPr>
      <w:r>
        <w:rPr>
          <w:rFonts w:ascii="Times New Roman"/>
          <w:b w:val="false"/>
          <w:i w:val="false"/>
          <w:color w:val="000000"/>
          <w:sz w:val="28"/>
        </w:rPr>
        <w:t>
      CRE</w:t>
      </w:r>
      <w:r>
        <w:rPr>
          <w:rFonts w:ascii="Times New Roman"/>
          <w:b w:val="false"/>
          <w:i w:val="false"/>
          <w:color w:val="000000"/>
          <w:vertAlign w:val="subscript"/>
        </w:rPr>
        <w:t>i</w:t>
      </w:r>
      <w:r>
        <w:rPr>
          <w:rFonts w:ascii="Times New Roman"/>
          <w:b w:val="false"/>
          <w:i w:val="false"/>
          <w:color w:val="000000"/>
          <w:sz w:val="28"/>
        </w:rPr>
        <w:t xml:space="preserve"> - требуемый капитал для покрытия валютного риска по i-ой иностранной валюте;</w:t>
      </w:r>
    </w:p>
    <w:bookmarkEnd w:id="66"/>
    <w:bookmarkStart w:name="z619" w:id="67"/>
    <w:p>
      <w:pPr>
        <w:spacing w:after="0"/>
        <w:ind w:left="0"/>
        <w:jc w:val="both"/>
      </w:pPr>
      <w:r>
        <w:rPr>
          <w:rFonts w:ascii="Times New Roman"/>
          <w:b w:val="false"/>
          <w:i w:val="false"/>
          <w:color w:val="000000"/>
          <w:sz w:val="28"/>
        </w:rPr>
        <w:t>
      А - совокупные активы страховой (перестраховочной) организации на отчетную дату;</w:t>
      </w:r>
    </w:p>
    <w:bookmarkEnd w:id="67"/>
    <w:bookmarkStart w:name="z620" w:id="68"/>
    <w:p>
      <w:pPr>
        <w:spacing w:after="0"/>
        <w:ind w:left="0"/>
        <w:jc w:val="both"/>
      </w:pPr>
      <w:r>
        <w:rPr>
          <w:rFonts w:ascii="Times New Roman"/>
          <w:b w:val="false"/>
          <w:i w:val="false"/>
          <w:color w:val="000000"/>
          <w:sz w:val="28"/>
        </w:rPr>
        <w:t>
      L - совокупные обязательства страховой (перестраховочной) организации по балансу на отчетную дату;</w:t>
      </w:r>
    </w:p>
    <w:bookmarkEnd w:id="68"/>
    <w:bookmarkStart w:name="z621" w:id="69"/>
    <w:p>
      <w:pPr>
        <w:spacing w:after="0"/>
        <w:ind w:left="0"/>
        <w:jc w:val="both"/>
      </w:pPr>
      <w:r>
        <w:rPr>
          <w:rFonts w:ascii="Times New Roman"/>
          <w:b w:val="false"/>
          <w:i w:val="false"/>
          <w:color w:val="000000"/>
          <w:sz w:val="28"/>
        </w:rPr>
        <w:t>
      a</w:t>
      </w:r>
      <w:r>
        <w:rPr>
          <w:rFonts w:ascii="Times New Roman"/>
          <w:b w:val="false"/>
          <w:i w:val="false"/>
          <w:color w:val="000000"/>
          <w:vertAlign w:val="subscript"/>
        </w:rPr>
        <w:t>i</w:t>
      </w:r>
      <w:r>
        <w:rPr>
          <w:rFonts w:ascii="Times New Roman"/>
          <w:b w:val="false"/>
          <w:i w:val="false"/>
          <w:color w:val="000000"/>
          <w:sz w:val="28"/>
        </w:rPr>
        <w:t xml:space="preserve"> - сумма активов в i-ой иностранной валюте на отчетную дату;</w:t>
      </w:r>
    </w:p>
    <w:bookmarkEnd w:id="69"/>
    <w:bookmarkStart w:name="z622" w:id="70"/>
    <w:p>
      <w:pPr>
        <w:spacing w:after="0"/>
        <w:ind w:left="0"/>
        <w:jc w:val="both"/>
      </w:pPr>
      <w:r>
        <w:rPr>
          <w:rFonts w:ascii="Times New Roman"/>
          <w:b w:val="false"/>
          <w:i w:val="false"/>
          <w:color w:val="000000"/>
          <w:sz w:val="28"/>
        </w:rPr>
        <w:t>
      l</w:t>
      </w:r>
      <w:r>
        <w:rPr>
          <w:rFonts w:ascii="Times New Roman"/>
          <w:b w:val="false"/>
          <w:i w:val="false"/>
          <w:color w:val="000000"/>
          <w:vertAlign w:val="subscript"/>
        </w:rPr>
        <w:t>i</w:t>
      </w:r>
      <w:r>
        <w:rPr>
          <w:rFonts w:ascii="Times New Roman"/>
          <w:b w:val="false"/>
          <w:i w:val="false"/>
          <w:color w:val="000000"/>
          <w:sz w:val="28"/>
        </w:rPr>
        <w:t xml:space="preserve"> - сумма обязательств по балансу в i-ой иностранной валюте на отчетную дату;</w:t>
      </w:r>
    </w:p>
    <w:bookmarkEnd w:id="70"/>
    <w:bookmarkStart w:name="z623" w:id="71"/>
    <w:p>
      <w:pPr>
        <w:spacing w:after="0"/>
        <w:ind w:left="0"/>
        <w:jc w:val="both"/>
      </w:pPr>
      <w:r>
        <w:rPr>
          <w:rFonts w:ascii="Times New Roman"/>
          <w:b w:val="false"/>
          <w:i w:val="false"/>
          <w:color w:val="000000"/>
          <w:sz w:val="28"/>
        </w:rPr>
        <w:t xml:space="preserve">
      5) превышение общего суммарного размещения в ценные бумаги (с учетом операций "обратное РЕПО"), вклады и деньги (за вычетом резерва по сомнительным долгам) в банках второго уровня, имеющих долгосрочный кредитный рейтинг "В-" и ниже по международной шкале агентства Standard &amp; Poor's или рейтинг аналогичного уровня одного из других рейтинговых агентств, и аффилиированных лицах данных банков, значения 30 (тридцати) процентов от собственного капитала, при значении норматива достаточности маржи платежеспособности ниже уровня, превышающего минимальное значение норматива достаточности маржи платежеспособности, установленное </w:t>
      </w:r>
      <w:r>
        <w:rPr>
          <w:rFonts w:ascii="Times New Roman"/>
          <w:b w:val="false"/>
          <w:i w:val="false"/>
          <w:color w:val="000000"/>
          <w:sz w:val="28"/>
        </w:rPr>
        <w:t>постановлением № 304</w:t>
      </w:r>
      <w:r>
        <w:rPr>
          <w:rFonts w:ascii="Times New Roman"/>
          <w:b w:val="false"/>
          <w:i w:val="false"/>
          <w:color w:val="000000"/>
          <w:sz w:val="28"/>
        </w:rPr>
        <w:t>, на 0,2 пункта;</w:t>
      </w:r>
    </w:p>
    <w:bookmarkEnd w:id="71"/>
    <w:bookmarkStart w:name="z624" w:id="72"/>
    <w:p>
      <w:pPr>
        <w:spacing w:after="0"/>
        <w:ind w:left="0"/>
        <w:jc w:val="both"/>
      </w:pPr>
      <w:r>
        <w:rPr>
          <w:rFonts w:ascii="Times New Roman"/>
          <w:b w:val="false"/>
          <w:i w:val="false"/>
          <w:color w:val="000000"/>
          <w:sz w:val="28"/>
        </w:rPr>
        <w:t xml:space="preserve">
      6) превышение суммарного размещения в ценные бумаги (с учетом операций "обратное РЕПО"), вклады и деньги (за вычетом резерва по сомнительным долгам) в одном банке второго уровня, имеющем долгосрочный кредитный рейтинг "В-" и ниже по международной шкале агентства Standard &amp; Poor's или рейтинг аналогичного уровня одного из других рейтинговых агентств, и аффилиированных лицах данных банков, значения 10 (десяти) процентов от собственного капитала, при значении норматива достаточности маржи платежеспособности ниже уровня, превышающего минимальное значение норматива достаточности маржи платежеспособности, установленное </w:t>
      </w:r>
      <w:r>
        <w:rPr>
          <w:rFonts w:ascii="Times New Roman"/>
          <w:b w:val="false"/>
          <w:i w:val="false"/>
          <w:color w:val="000000"/>
          <w:sz w:val="28"/>
        </w:rPr>
        <w:t>постановлением № 304</w:t>
      </w:r>
      <w:r>
        <w:rPr>
          <w:rFonts w:ascii="Times New Roman"/>
          <w:b w:val="false"/>
          <w:i w:val="false"/>
          <w:color w:val="000000"/>
          <w:sz w:val="28"/>
        </w:rPr>
        <w:t>, на 0,2 пункта;</w:t>
      </w:r>
    </w:p>
    <w:bookmarkEnd w:id="72"/>
    <w:bookmarkStart w:name="z625" w:id="73"/>
    <w:p>
      <w:pPr>
        <w:spacing w:after="0"/>
        <w:ind w:left="0"/>
        <w:jc w:val="both"/>
      </w:pPr>
      <w:r>
        <w:rPr>
          <w:rFonts w:ascii="Times New Roman"/>
          <w:b w:val="false"/>
          <w:i w:val="false"/>
          <w:color w:val="000000"/>
          <w:sz w:val="28"/>
        </w:rPr>
        <w:t xml:space="preserve">
      7) убыточная деятельность страховой (перестраховочной) организации по итогам последних 12 (двенадцати) месяцев при значении норматива достаточности маржи платежеспособности ниже уровня, превышающего минимальное значение норматива достаточности маржи платежеспособности, установленное </w:t>
      </w:r>
      <w:r>
        <w:rPr>
          <w:rFonts w:ascii="Times New Roman"/>
          <w:b w:val="false"/>
          <w:i w:val="false"/>
          <w:color w:val="000000"/>
          <w:sz w:val="28"/>
        </w:rPr>
        <w:t>постановлением № 304</w:t>
      </w:r>
      <w:r>
        <w:rPr>
          <w:rFonts w:ascii="Times New Roman"/>
          <w:b w:val="false"/>
          <w:i w:val="false"/>
          <w:color w:val="000000"/>
          <w:sz w:val="28"/>
        </w:rPr>
        <w:t>, на 0,5 пункта.</w:t>
      </w:r>
    </w:p>
    <w:bookmarkEnd w:id="73"/>
    <w:bookmarkStart w:name="z626" w:id="74"/>
    <w:p>
      <w:pPr>
        <w:spacing w:after="0"/>
        <w:ind w:left="0"/>
        <w:jc w:val="both"/>
      </w:pPr>
      <w:r>
        <w:rPr>
          <w:rFonts w:ascii="Times New Roman"/>
          <w:b w:val="false"/>
          <w:i w:val="false"/>
          <w:color w:val="000000"/>
          <w:sz w:val="28"/>
        </w:rPr>
        <w:t>
      Требование настоящего подпункта не распространяется на страховые (перестраховочные) организации, осуществляющие деятельность в отрасли "общее страхование" менее 3 (трех) лет, страховые организации, осуществляющие деятельность в отрасли "страхование жизни" менее 5 (пяти) лет, за исключением случаев получения страховой (перестраховочной) организацией прибыли до истечения сроков, определенных бизнес-планом, по итогам завершенного финансового года;</w:t>
      </w:r>
    </w:p>
    <w:bookmarkEnd w:id="74"/>
    <w:bookmarkStart w:name="z627" w:id="75"/>
    <w:p>
      <w:pPr>
        <w:spacing w:after="0"/>
        <w:ind w:left="0"/>
        <w:jc w:val="both"/>
      </w:pPr>
      <w:r>
        <w:rPr>
          <w:rFonts w:ascii="Times New Roman"/>
          <w:b w:val="false"/>
          <w:i w:val="false"/>
          <w:color w:val="000000"/>
          <w:sz w:val="28"/>
        </w:rPr>
        <w:t xml:space="preserve">
      8) превышение значения комбинированного коэффициента без учета доли перестраховщика более 100 (ста) процентов при значении норматива достаточности маржи платежеспособности ниже уровня, превышающего минимальное значение норматива достаточности маржи платежеспособности, установленное </w:t>
      </w:r>
      <w:r>
        <w:rPr>
          <w:rFonts w:ascii="Times New Roman"/>
          <w:b w:val="false"/>
          <w:i w:val="false"/>
          <w:color w:val="000000"/>
          <w:sz w:val="28"/>
        </w:rPr>
        <w:t>постановлением № 304</w:t>
      </w:r>
      <w:r>
        <w:rPr>
          <w:rFonts w:ascii="Times New Roman"/>
          <w:b w:val="false"/>
          <w:i w:val="false"/>
          <w:color w:val="000000"/>
          <w:sz w:val="28"/>
        </w:rPr>
        <w:t>, на 0,5 пункта.</w:t>
      </w:r>
    </w:p>
    <w:bookmarkEnd w:id="75"/>
    <w:bookmarkStart w:name="z628" w:id="76"/>
    <w:p>
      <w:pPr>
        <w:spacing w:after="0"/>
        <w:ind w:left="0"/>
        <w:jc w:val="both"/>
      </w:pPr>
      <w:r>
        <w:rPr>
          <w:rFonts w:ascii="Times New Roman"/>
          <w:b w:val="false"/>
          <w:i w:val="false"/>
          <w:color w:val="000000"/>
          <w:sz w:val="28"/>
        </w:rPr>
        <w:t>
      Для страховых (перестраховочных) организаций, доля страховых премий по классу "страхование на случай болезни" которых составляет более 80 (восьмидесяти) процентов в общем объеме страховых премий по действующим договорам страхования (перестрахования) на отчетную дату, пороговое значение по данному фактору составляет 120 (сто двадцать) процентов;</w:t>
      </w:r>
    </w:p>
    <w:bookmarkEnd w:id="76"/>
    <w:bookmarkStart w:name="z629" w:id="77"/>
    <w:p>
      <w:pPr>
        <w:spacing w:after="0"/>
        <w:ind w:left="0"/>
        <w:jc w:val="both"/>
      </w:pPr>
      <w:r>
        <w:rPr>
          <w:rFonts w:ascii="Times New Roman"/>
          <w:b w:val="false"/>
          <w:i w:val="false"/>
          <w:color w:val="000000"/>
          <w:sz w:val="28"/>
        </w:rPr>
        <w:t>
      9) превышение соотношения суммы общих и административных расходов, расходов по выплате комиссионного вознаграждения по страховой деятельности и прочих расходов, предусмотренных статьей "Общие и административные расходы" за последние 12 (двенадцать) месяцев к сумме доходов страховой (перестраховочной) организации за последние 12 (двенадцать) месяцев, уменьшенной на сумму расходов, связанных с расторжением договора страхования (перестрахования), значения 50 (пятидесяти) процентов;</w:t>
      </w:r>
    </w:p>
    <w:bookmarkEnd w:id="77"/>
    <w:bookmarkStart w:name="z630" w:id="78"/>
    <w:p>
      <w:pPr>
        <w:spacing w:after="0"/>
        <w:ind w:left="0"/>
        <w:jc w:val="both"/>
      </w:pPr>
      <w:r>
        <w:rPr>
          <w:rFonts w:ascii="Times New Roman"/>
          <w:b w:val="false"/>
          <w:i w:val="false"/>
          <w:color w:val="000000"/>
          <w:sz w:val="28"/>
        </w:rPr>
        <w:t xml:space="preserve">
      10) превышение соотношения просроченной дебиторской задолженности по договорам страхования и перестрахования (суммы к получению от перестраховщиков, страхователей (перестрахователей) и посредников) (за вычетом резервов на обесценение) к сумме активов страховой (перестраховочной) организации за минусом активов перестрахования, значения 5 (пяти) процентов, при значении норматива достаточности маржи платежеспособности ниже уровня, превышающего минимальное значение норматива достаточности маржи платежеспособности, установленное </w:t>
      </w:r>
      <w:r>
        <w:rPr>
          <w:rFonts w:ascii="Times New Roman"/>
          <w:b w:val="false"/>
          <w:i w:val="false"/>
          <w:color w:val="000000"/>
          <w:sz w:val="28"/>
        </w:rPr>
        <w:t>постановлением № 304</w:t>
      </w:r>
      <w:r>
        <w:rPr>
          <w:rFonts w:ascii="Times New Roman"/>
          <w:b w:val="false"/>
          <w:i w:val="false"/>
          <w:color w:val="000000"/>
          <w:sz w:val="28"/>
        </w:rPr>
        <w:t>, на 0,5 пункта.</w:t>
      </w:r>
    </w:p>
    <w:bookmarkEnd w:id="78"/>
    <w:bookmarkStart w:name="z631" w:id="79"/>
    <w:p>
      <w:pPr>
        <w:spacing w:after="0"/>
        <w:ind w:left="0"/>
        <w:jc w:val="both"/>
      </w:pPr>
      <w:r>
        <w:rPr>
          <w:rFonts w:ascii="Times New Roman"/>
          <w:b w:val="false"/>
          <w:i w:val="false"/>
          <w:color w:val="000000"/>
          <w:sz w:val="28"/>
        </w:rPr>
        <w:t>
      11) снижение коэффициента убыточности, характеризующего убыточность с учетом доли перестраховщика, рассчитанного по полисному году, ниже 30 (тридцати) процентов по классу добровольного страхования автомобильного транспорта, на который приходится более 20 (двадцати) процентов страховых премий физических лиц по всем добровольным видам страхования организации.</w:t>
      </w:r>
    </w:p>
    <w:bookmarkEnd w:id="79"/>
    <w:bookmarkStart w:name="z632" w:id="80"/>
    <w:p>
      <w:pPr>
        <w:spacing w:after="0"/>
        <w:ind w:left="0"/>
        <w:jc w:val="both"/>
      </w:pPr>
      <w:r>
        <w:rPr>
          <w:rFonts w:ascii="Times New Roman"/>
          <w:b w:val="false"/>
          <w:i w:val="false"/>
          <w:color w:val="000000"/>
          <w:sz w:val="28"/>
        </w:rPr>
        <w:t>
      Данный показатель рассчитывается по состоянию на 1 января года, следующего за отчетным годом.</w:t>
      </w:r>
    </w:p>
    <w:bookmarkEnd w:id="80"/>
    <w:bookmarkStart w:name="z633" w:id="81"/>
    <w:p>
      <w:pPr>
        <w:spacing w:after="0"/>
        <w:ind w:left="0"/>
        <w:jc w:val="both"/>
      </w:pPr>
      <w:r>
        <w:rPr>
          <w:rFonts w:ascii="Times New Roman"/>
          <w:b w:val="false"/>
          <w:i w:val="false"/>
          <w:color w:val="000000"/>
          <w:sz w:val="28"/>
        </w:rPr>
        <w:t xml:space="preserve">
      12) превышение коэффициента жалоб страхователей (выгодоприобретателей) показателя 1. </w:t>
      </w:r>
    </w:p>
    <w:bookmarkEnd w:id="81"/>
    <w:bookmarkStart w:name="z634" w:id="82"/>
    <w:p>
      <w:pPr>
        <w:spacing w:after="0"/>
        <w:ind w:left="0"/>
        <w:jc w:val="both"/>
      </w:pPr>
      <w:r>
        <w:rPr>
          <w:rFonts w:ascii="Times New Roman"/>
          <w:b w:val="false"/>
          <w:i w:val="false"/>
          <w:color w:val="000000"/>
          <w:sz w:val="28"/>
        </w:rPr>
        <w:t xml:space="preserve">
      В качестве коэффициента жалоб страхователей (выгодоприобретателей) принимается наибольшая из следующих величин рассчитанная по следующей формуле: </w:t>
      </w:r>
    </w:p>
    <w:bookmarkEnd w:id="82"/>
    <w:bookmarkStart w:name="z635"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2895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956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6" w:id="84"/>
    <w:p>
      <w:pPr>
        <w:spacing w:after="0"/>
        <w:ind w:left="0"/>
        <w:jc w:val="both"/>
      </w:pPr>
      <w:r>
        <w:rPr>
          <w:rFonts w:ascii="Times New Roman"/>
          <w:b w:val="false"/>
          <w:i w:val="false"/>
          <w:color w:val="000000"/>
          <w:sz w:val="28"/>
        </w:rPr>
        <w:t xml:space="preserve">
      или </w:t>
      </w:r>
    </w:p>
    <w:bookmarkEnd w:id="84"/>
    <w:bookmarkStart w:name="z637"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1816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8161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8" w:id="86"/>
    <w:p>
      <w:pPr>
        <w:spacing w:after="0"/>
        <w:ind w:left="0"/>
        <w:jc w:val="both"/>
      </w:pPr>
      <w:r>
        <w:rPr>
          <w:rFonts w:ascii="Times New Roman"/>
          <w:b w:val="false"/>
          <w:i w:val="false"/>
          <w:color w:val="000000"/>
          <w:sz w:val="28"/>
        </w:rPr>
        <w:t>
      жалобы - количество обоснованных заявлений страхователей (выгодоприобретателей) за отчетный год, рассмотренных страховым омбудсманом, в отношении страховой организации по договорам страхования физических лиц;</w:t>
      </w:r>
    </w:p>
    <w:bookmarkEnd w:id="86"/>
    <w:bookmarkStart w:name="z639" w:id="87"/>
    <w:p>
      <w:pPr>
        <w:spacing w:after="0"/>
        <w:ind w:left="0"/>
        <w:jc w:val="both"/>
      </w:pPr>
      <w:r>
        <w:rPr>
          <w:rFonts w:ascii="Times New Roman"/>
          <w:b w:val="false"/>
          <w:i w:val="false"/>
          <w:color w:val="000000"/>
          <w:sz w:val="28"/>
        </w:rPr>
        <w:t>
      договора страхования - количество всех заключенных договоров страхования физических лиц за отчетный год;</w:t>
      </w:r>
    </w:p>
    <w:bookmarkEnd w:id="87"/>
    <w:bookmarkStart w:name="z640" w:id="88"/>
    <w:p>
      <w:pPr>
        <w:spacing w:after="0"/>
        <w:ind w:left="0"/>
        <w:jc w:val="both"/>
      </w:pPr>
      <w:r>
        <w:rPr>
          <w:rFonts w:ascii="Times New Roman"/>
          <w:b w:val="false"/>
          <w:i w:val="false"/>
          <w:color w:val="000000"/>
          <w:sz w:val="28"/>
        </w:rPr>
        <w:t>
      выплаты - количество всех страховых выплат физическим лицам за отчетный год, осуществленных по договорам страхования физических лиц.</w:t>
      </w:r>
    </w:p>
    <w:bookmarkEnd w:id="88"/>
    <w:bookmarkStart w:name="z641" w:id="89"/>
    <w:p>
      <w:pPr>
        <w:spacing w:after="0"/>
        <w:ind w:left="0"/>
        <w:jc w:val="both"/>
      </w:pPr>
      <w:r>
        <w:rPr>
          <w:rFonts w:ascii="Times New Roman"/>
          <w:b w:val="false"/>
          <w:i w:val="false"/>
          <w:color w:val="000000"/>
          <w:sz w:val="28"/>
        </w:rPr>
        <w:t>
      Заявление считается обоснованным, по которому вынесено решение страхового омбудсмана о частичном или полном удовлетворении требований страхователя (выгодоприобретателя), за исключением случаев урегулирования страховой организацией или страховым омбудсманом разногласий, связанных с определением суммы ущерба до вынесения решения страховым омбудсманом.</w:t>
      </w:r>
    </w:p>
    <w:bookmarkEnd w:id="89"/>
    <w:bookmarkStart w:name="z642" w:id="90"/>
    <w:p>
      <w:pPr>
        <w:spacing w:after="0"/>
        <w:ind w:left="0"/>
        <w:jc w:val="both"/>
      </w:pPr>
      <w:r>
        <w:rPr>
          <w:rFonts w:ascii="Times New Roman"/>
          <w:b w:val="false"/>
          <w:i w:val="false"/>
          <w:color w:val="000000"/>
          <w:sz w:val="28"/>
        </w:rPr>
        <w:t>
      Коэффициент жалоб страхователей (выгодоприобретателей) рассчитывается по принятым решениям страхового омбудсмана за календарный год по состоянию на 1 января года, следующего за отчетным годом.</w:t>
      </w:r>
    </w:p>
    <w:bookmarkEnd w:id="90"/>
    <w:bookmarkStart w:name="z643" w:id="91"/>
    <w:p>
      <w:pPr>
        <w:spacing w:after="0"/>
        <w:ind w:left="0"/>
        <w:jc w:val="both"/>
      </w:pPr>
      <w:r>
        <w:rPr>
          <w:rFonts w:ascii="Times New Roman"/>
          <w:b w:val="false"/>
          <w:i w:val="false"/>
          <w:color w:val="000000"/>
          <w:sz w:val="28"/>
        </w:rPr>
        <w:t>
      3. Определение факторов, влияющих на ухудшение финансового положения страховой группы, осуществляется по следующей методике:</w:t>
      </w:r>
    </w:p>
    <w:bookmarkEnd w:id="91"/>
    <w:bookmarkStart w:name="z644" w:id="92"/>
    <w:p>
      <w:pPr>
        <w:spacing w:after="0"/>
        <w:ind w:left="0"/>
        <w:jc w:val="both"/>
      </w:pPr>
      <w:r>
        <w:rPr>
          <w:rFonts w:ascii="Times New Roman"/>
          <w:b w:val="false"/>
          <w:i w:val="false"/>
          <w:color w:val="000000"/>
          <w:sz w:val="28"/>
        </w:rPr>
        <w:t xml:space="preserve">
      1) снижение значения норматива достаточности маржи платежеспособности ниже уровня, превышающего минимальное значение норматива достаточности маржи платежеспособности, установленное </w:t>
      </w:r>
      <w:r>
        <w:rPr>
          <w:rFonts w:ascii="Times New Roman"/>
          <w:b w:val="false"/>
          <w:i w:val="false"/>
          <w:color w:val="000000"/>
          <w:sz w:val="28"/>
        </w:rPr>
        <w:t>постановлением № 304</w:t>
      </w:r>
      <w:r>
        <w:rPr>
          <w:rFonts w:ascii="Times New Roman"/>
          <w:b w:val="false"/>
          <w:i w:val="false"/>
          <w:color w:val="000000"/>
          <w:sz w:val="28"/>
        </w:rPr>
        <w:t>, на 0,1 пункта;</w:t>
      </w:r>
    </w:p>
    <w:bookmarkEnd w:id="92"/>
    <w:bookmarkStart w:name="z645" w:id="93"/>
    <w:p>
      <w:pPr>
        <w:spacing w:after="0"/>
        <w:ind w:left="0"/>
        <w:jc w:val="both"/>
      </w:pPr>
      <w:r>
        <w:rPr>
          <w:rFonts w:ascii="Times New Roman"/>
          <w:b w:val="false"/>
          <w:i w:val="false"/>
          <w:color w:val="000000"/>
          <w:sz w:val="28"/>
        </w:rPr>
        <w:t>
      2) убыточная деятельность по итогам последних 4 (четырех) отчетных кварталов;</w:t>
      </w:r>
    </w:p>
    <w:bookmarkEnd w:id="93"/>
    <w:bookmarkStart w:name="z646" w:id="94"/>
    <w:p>
      <w:pPr>
        <w:spacing w:after="0"/>
        <w:ind w:left="0"/>
        <w:jc w:val="both"/>
      </w:pPr>
      <w:r>
        <w:rPr>
          <w:rFonts w:ascii="Times New Roman"/>
          <w:b w:val="false"/>
          <w:i w:val="false"/>
          <w:color w:val="000000"/>
          <w:sz w:val="28"/>
        </w:rPr>
        <w:t>
      3) превышение объема сделок между участниками страховой группы 10 (десяти) процентов от фактической маржи платежеспособности страховой группы.</w:t>
      </w:r>
    </w:p>
    <w:bookmarkEnd w:id="94"/>
    <w:bookmarkStart w:name="z647" w:id="95"/>
    <w:p>
      <w:pPr>
        <w:spacing w:after="0"/>
        <w:ind w:left="0"/>
        <w:jc w:val="both"/>
      </w:pPr>
      <w:r>
        <w:rPr>
          <w:rFonts w:ascii="Times New Roman"/>
          <w:b w:val="false"/>
          <w:i w:val="false"/>
          <w:color w:val="000000"/>
          <w:sz w:val="28"/>
        </w:rPr>
        <w:t>
      4. Определение факторов, влияющих на ухудшение финансового положения филиала страховой (перестраховочной) организации - нерезидента Республики Казахстан, осуществляется по следующей методике:</w:t>
      </w:r>
    </w:p>
    <w:bookmarkEnd w:id="95"/>
    <w:bookmarkStart w:name="z648" w:id="96"/>
    <w:p>
      <w:pPr>
        <w:spacing w:after="0"/>
        <w:ind w:left="0"/>
        <w:jc w:val="both"/>
      </w:pPr>
      <w:r>
        <w:rPr>
          <w:rFonts w:ascii="Times New Roman"/>
          <w:b w:val="false"/>
          <w:i w:val="false"/>
          <w:color w:val="000000"/>
          <w:sz w:val="28"/>
        </w:rPr>
        <w:t>
      1) снижение норматива достаточности маржи платежеспособности ниже уровня, превышающего минимальное значение норматива достаточности маржи платежеспособности, установленное нормативным правовым актом уполномоченного органа по регулированию, контролю и надзору финансового рынка и финансовых организаций, устанавливающим нормативные значения и методики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иные обязательные к соблюдению нормы и лимиты, на 0,1 пункта;</w:t>
      </w:r>
    </w:p>
    <w:bookmarkEnd w:id="96"/>
    <w:bookmarkStart w:name="z649" w:id="97"/>
    <w:p>
      <w:pPr>
        <w:spacing w:after="0"/>
        <w:ind w:left="0"/>
        <w:jc w:val="both"/>
      </w:pPr>
      <w:r>
        <w:rPr>
          <w:rFonts w:ascii="Times New Roman"/>
          <w:b w:val="false"/>
          <w:i w:val="false"/>
          <w:color w:val="000000"/>
          <w:sz w:val="28"/>
        </w:rPr>
        <w:t>
      2) снижение норматива достаточности высоколиквидных активов ниже уровня, превышающего минимальное значение норматива достаточности высоколиквидных активов, установленное нормативным правовым актом уполномоченного органа по регулированию, контролю и надзору финансового рынка и финансовых организаций, устанавливающим нормативные значения и методики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иные обязательные к соблюдению нормы и лимиты, на 0,2 пункта.</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