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5966b" w14:textId="5d596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окружающей среды и водных ресурсов Республики Казахстан от 4 апреля 2014 года № 104-Ө "Об утверждении Правил подготовки биологического обоснования на пользование животным миром"</w:t>
      </w:r>
    </w:p>
    <w:p>
      <w:pPr>
        <w:spacing w:after="0"/>
        <w:ind w:left="0"/>
        <w:jc w:val="both"/>
      </w:pPr>
      <w:r>
        <w:rPr>
          <w:rFonts w:ascii="Times New Roman"/>
          <w:b w:val="false"/>
          <w:i w:val="false"/>
          <w:color w:val="000000"/>
          <w:sz w:val="28"/>
        </w:rPr>
        <w:t>Приказ Заместителя Премьер-Министра Республики Казахстан - Министра сельского хозяйства Республики Казахстан от 4 мая 2018 года № 184. Зарегистрирован в Министерстве юстиции Республики Казахстан 24 мая 2018 года № 16924</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окружающей среды и водных ресурсов Республики Казахстан от 4 апреля 2014 года № 104-Ө "Об утверждении Правил подготовки биологического обоснования на пользование животным миром" (зарегистрирован в Реестре государственной регистрации нормативных правовых актов № 9307, опубликован 14 апреля 2014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биологического обоснования на пользование животным миром,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учета численности и расчета предельно допустимого объема изъятия рыбных ресурсов и других водных животных, к указанным Правилам: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подпунктами 35) и 36) следующего содержания:</w:t>
      </w:r>
    </w:p>
    <w:bookmarkStart w:name="z9" w:id="4"/>
    <w:p>
      <w:pPr>
        <w:spacing w:after="0"/>
        <w:ind w:left="0"/>
        <w:jc w:val="both"/>
      </w:pPr>
      <w:r>
        <w:rPr>
          <w:rFonts w:ascii="Times New Roman"/>
          <w:b w:val="false"/>
          <w:i w:val="false"/>
          <w:color w:val="000000"/>
          <w:sz w:val="28"/>
        </w:rPr>
        <w:t>
      "35) Концепция МSY – это управление запасом и основной его целью промысловой эксплуатации популяций диких гидробионтов служит максимизация среднемноголетнего улова;</w:t>
      </w:r>
    </w:p>
    <w:bookmarkEnd w:id="4"/>
    <w:bookmarkStart w:name="z10" w:id="5"/>
    <w:p>
      <w:pPr>
        <w:spacing w:after="0"/>
        <w:ind w:left="0"/>
        <w:jc w:val="both"/>
      </w:pPr>
      <w:r>
        <w:rPr>
          <w:rFonts w:ascii="Times New Roman"/>
          <w:b w:val="false"/>
          <w:i w:val="false"/>
          <w:color w:val="000000"/>
          <w:sz w:val="28"/>
        </w:rPr>
        <w:t>
      36) L</w:t>
      </w:r>
      <w:r>
        <w:rPr>
          <w:rFonts w:ascii="Times New Roman"/>
          <w:b w:val="false"/>
          <w:i w:val="false"/>
          <w:color w:val="000000"/>
          <w:vertAlign w:val="subscript"/>
        </w:rPr>
        <w:t>C50</w:t>
      </w:r>
      <w:r>
        <w:rPr>
          <w:rFonts w:ascii="Times New Roman"/>
          <w:b w:val="false"/>
          <w:i w:val="false"/>
          <w:color w:val="000000"/>
          <w:sz w:val="28"/>
        </w:rPr>
        <w:t xml:space="preserve"> – длина рыбы, при которой 50 процентов рыб в популяции изымается промыслом.</w:t>
      </w:r>
    </w:p>
    <w:bookmarkEnd w:id="5"/>
    <w:bookmarkStart w:name="z11" w:id="6"/>
    <w:p>
      <w:pPr>
        <w:spacing w:after="0"/>
        <w:ind w:left="0"/>
        <w:jc w:val="both"/>
      </w:pPr>
      <w:r>
        <w:rPr>
          <w:rFonts w:ascii="Times New Roman"/>
          <w:b w:val="false"/>
          <w:i w:val="false"/>
          <w:color w:val="000000"/>
          <w:sz w:val="28"/>
        </w:rPr>
        <w:t>
      L</w:t>
      </w:r>
      <w:r>
        <w:rPr>
          <w:rFonts w:ascii="Times New Roman"/>
          <w:b w:val="false"/>
          <w:i w:val="false"/>
          <w:color w:val="000000"/>
          <w:vertAlign w:val="subscript"/>
        </w:rPr>
        <w:t>M50</w:t>
      </w:r>
      <w:r>
        <w:rPr>
          <w:rFonts w:ascii="Times New Roman"/>
          <w:b w:val="false"/>
          <w:i w:val="false"/>
          <w:color w:val="000000"/>
          <w:sz w:val="28"/>
        </w:rPr>
        <w:t xml:space="preserve"> – длина, при которой 50 процентов рыб в популяции достигают половой зрелости.";</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w:t>
      </w:r>
      <w:r>
        <w:rPr>
          <w:rFonts w:ascii="Times New Roman"/>
          <w:b w:val="false"/>
          <w:i w:val="false"/>
          <w:color w:val="000000"/>
          <w:sz w:val="28"/>
        </w:rPr>
        <w:t xml:space="preserve"> изложить в следующей редакции:</w:t>
      </w:r>
    </w:p>
    <w:bookmarkStart w:name="z13" w:id="7"/>
    <w:p>
      <w:pPr>
        <w:spacing w:after="0"/>
        <w:ind w:left="0"/>
        <w:jc w:val="both"/>
      </w:pPr>
      <w:r>
        <w:rPr>
          <w:rFonts w:ascii="Times New Roman"/>
          <w:b w:val="false"/>
          <w:i w:val="false"/>
          <w:color w:val="000000"/>
          <w:sz w:val="28"/>
        </w:rPr>
        <w:t>
      "9. Расчет предельно допустимого объема изъятия животных производится для пользователя животным миром в отдельности, на основе учета численности животных, объективных многолетних данных изучения тенденции динамики популяции и изменения среды обитания, с учетом возможного ущерба биологическому разнообразию.</w:t>
      </w:r>
    </w:p>
    <w:bookmarkEnd w:id="7"/>
    <w:bookmarkStart w:name="z14" w:id="8"/>
    <w:p>
      <w:pPr>
        <w:spacing w:after="0"/>
        <w:ind w:left="0"/>
        <w:jc w:val="both"/>
      </w:pPr>
      <w:r>
        <w:rPr>
          <w:rFonts w:ascii="Times New Roman"/>
          <w:b w:val="false"/>
          <w:i w:val="false"/>
          <w:color w:val="000000"/>
          <w:sz w:val="28"/>
        </w:rPr>
        <w:t>
      При расчете предельно допустимого объема изъятия объектов животного мира для популяций (видов) рыб, состояние запасов которых оценивается как критическое используются граничные ориентиры запаса по биологическим показателям рыб, применяется коэффициент изъятия запаса 0,5 от коэффициента общей смертности.";</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"37. В целях определения биологического анализа и возраста отбирается стратифицированная, неслучайная выборка. Случайная выборка отбирается при массовых промерах рыбы, когда фиксируется только ее длина тела. Для перевода размерного состава по данным массовых промеров в возрастной состав, используется настоящая методика. Строится матрица, куда подставляется разбивка размерных групп по процентам на возрастные, полученная по данным таблицы 12. Находится наиболее приближенный к истинному возрастному составу популяции (таблица 13).</w:t>
      </w:r>
    </w:p>
    <w:bookmarkEnd w:id="9"/>
    <w:bookmarkStart w:name="z17" w:id="10"/>
    <w:p>
      <w:pPr>
        <w:spacing w:after="0"/>
        <w:ind w:left="0"/>
        <w:jc w:val="both"/>
      </w:pPr>
      <w:r>
        <w:rPr>
          <w:rFonts w:ascii="Times New Roman"/>
          <w:b w:val="false"/>
          <w:i w:val="false"/>
          <w:color w:val="000000"/>
          <w:sz w:val="28"/>
        </w:rPr>
        <w:t>
      Для определения численности младшевозрастных групп рыб (младше возраста наступления половозрелости) используется функция, полученная в результате выравнивания рядов данных (построенная линия тренда). Полученные таким образом данные заносятся в таблицу численности соответствующих возрастных групп рыб.";</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112</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"112. Значения абсолютной численности рыб, ихтиомассы, абсолютной численности родительского стада в конце года, для рационально эксплуатируемой промыслом популяции, должны быть не меньше этих значений в начале года. Но в зависимости от биологического состояния популяции вида, интенсивности промысла в предыдущие годы, целевых ориентиров формирования промысловой ихтиофауны на перспективу эти значения могут отличаться.</w:t>
      </w:r>
    </w:p>
    <w:bookmarkEnd w:id="11"/>
    <w:bookmarkStart w:name="z20" w:id="12"/>
    <w:p>
      <w:pPr>
        <w:spacing w:after="0"/>
        <w:ind w:left="0"/>
        <w:jc w:val="both"/>
      </w:pPr>
      <w:r>
        <w:rPr>
          <w:rFonts w:ascii="Times New Roman"/>
          <w:b w:val="false"/>
          <w:i w:val="false"/>
          <w:color w:val="000000"/>
          <w:sz w:val="28"/>
        </w:rPr>
        <w:t>
      В случае, если данные о величине естественной смертности отсутствуют, приближенное значение целевого ориентира по интенсивности промысла можно рассчитать на основе концепции репродуктивной разнокачественности популяций, согласно которой скорость увеличения численности популяций рыб зависит от возраста их созревания и числа повторных генераций в течение жизни.</w:t>
      </w:r>
    </w:p>
    <w:bookmarkEnd w:id="12"/>
    <w:bookmarkStart w:name="z21" w:id="13"/>
    <w:p>
      <w:pPr>
        <w:spacing w:after="0"/>
        <w:ind w:left="0"/>
        <w:jc w:val="both"/>
      </w:pPr>
      <w:r>
        <w:rPr>
          <w:rFonts w:ascii="Times New Roman"/>
          <w:b w:val="false"/>
          <w:i w:val="false"/>
          <w:color w:val="000000"/>
          <w:sz w:val="28"/>
        </w:rPr>
        <w:t>
      При этом индивидуальная плодовитость имеет второстепенное значение. Выразив промысловую смертность в терминах коэффициента годовой убыли получают биологически приемлемые значения этого коэффициента для видов, отличающихся возрастом полового созревания самок.</w:t>
      </w:r>
    </w:p>
    <w:bookmarkEnd w:id="13"/>
    <w:bookmarkStart w:name="z22" w:id="14"/>
    <w:p>
      <w:pPr>
        <w:spacing w:after="0"/>
        <w:ind w:left="0"/>
        <w:jc w:val="both"/>
      </w:pPr>
      <w:r>
        <w:rPr>
          <w:rFonts w:ascii="Times New Roman"/>
          <w:b w:val="false"/>
          <w:i w:val="false"/>
          <w:color w:val="000000"/>
          <w:sz w:val="28"/>
        </w:rPr>
        <w:t>
      Два принципиальных момента, которые следует учитывать для правильной трактовки оценок годовой убыли:</w:t>
      </w:r>
    </w:p>
    <w:bookmarkEnd w:id="14"/>
    <w:bookmarkStart w:name="z23" w:id="15"/>
    <w:p>
      <w:pPr>
        <w:spacing w:after="0"/>
        <w:ind w:left="0"/>
        <w:jc w:val="both"/>
      </w:pPr>
      <w:r>
        <w:rPr>
          <w:rFonts w:ascii="Times New Roman"/>
          <w:b w:val="false"/>
          <w:i w:val="false"/>
          <w:color w:val="000000"/>
          <w:sz w:val="28"/>
        </w:rPr>
        <w:t>
      1) допустимая доля промыслового изъятия выражена в процентах от численности запаса, поэтому и оценка улова будет в единицах численности, для нахождения величины допустимого улова в единицах массы полученную оценку необходимо пересчитать с учетом возрастного состава запаса и средних навесок;</w:t>
      </w:r>
    </w:p>
    <w:bookmarkEnd w:id="15"/>
    <w:bookmarkStart w:name="z24" w:id="16"/>
    <w:p>
      <w:pPr>
        <w:spacing w:after="0"/>
        <w:ind w:left="0"/>
        <w:jc w:val="both"/>
      </w:pPr>
      <w:r>
        <w:rPr>
          <w:rFonts w:ascii="Times New Roman"/>
          <w:b w:val="false"/>
          <w:i w:val="false"/>
          <w:color w:val="000000"/>
          <w:sz w:val="28"/>
        </w:rPr>
        <w:t>
      2) допустимая доля промыслового изъятия относится к промысловой части запаса в начале прогнозного года.</w:t>
      </w:r>
    </w:p>
    <w:bookmarkEnd w:id="16"/>
    <w:bookmarkStart w:name="z25" w:id="17"/>
    <w:p>
      <w:pPr>
        <w:spacing w:after="0"/>
        <w:ind w:left="0"/>
        <w:jc w:val="both"/>
      </w:pPr>
      <w:r>
        <w:rPr>
          <w:rFonts w:ascii="Times New Roman"/>
          <w:b w:val="false"/>
          <w:i w:val="false"/>
          <w:color w:val="000000"/>
          <w:sz w:val="28"/>
        </w:rPr>
        <w:t>
      Управление рыболовством должно основываться на концепции максимального среднемноголетнего улова (МSY). Коэффициенты изъятия промыслового запаса проверяются на соответствие критерию МSY. В случае несоответствия производится расчет иных коэффициентов изъятия промыслового запаса.";</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2</w:t>
      </w:r>
      <w:r>
        <w:rPr>
          <w:rFonts w:ascii="Times New Roman"/>
          <w:b w:val="false"/>
          <w:i w:val="false"/>
          <w:color w:val="000000"/>
          <w:sz w:val="28"/>
        </w:rPr>
        <w:t xml:space="preserve"> дополнить параграфами 6 и 7 следующего содержания:</w:t>
      </w:r>
    </w:p>
    <w:bookmarkStart w:name="z27" w:id="18"/>
    <w:p>
      <w:pPr>
        <w:spacing w:after="0"/>
        <w:ind w:left="0"/>
        <w:jc w:val="both"/>
      </w:pPr>
      <w:r>
        <w:rPr>
          <w:rFonts w:ascii="Times New Roman"/>
          <w:b w:val="false"/>
          <w:i w:val="false"/>
          <w:color w:val="000000"/>
          <w:sz w:val="28"/>
        </w:rPr>
        <w:t>
      "Параграф 6. Метод определения граничных ориентиров запаса для выработки стратегии осторожного управления запасами по биологическим показателям рыб</w:t>
      </w:r>
    </w:p>
    <w:bookmarkEnd w:id="18"/>
    <w:bookmarkStart w:name="z28" w:id="19"/>
    <w:p>
      <w:pPr>
        <w:spacing w:after="0"/>
        <w:ind w:left="0"/>
        <w:jc w:val="both"/>
      </w:pPr>
      <w:r>
        <w:rPr>
          <w:rFonts w:ascii="Times New Roman"/>
          <w:b w:val="false"/>
          <w:i w:val="false"/>
          <w:color w:val="000000"/>
          <w:sz w:val="28"/>
        </w:rPr>
        <w:t>
      208. Показателями состояния запаса популяций вида рыб являются критерии L</w:t>
      </w:r>
      <w:r>
        <w:rPr>
          <w:rFonts w:ascii="Times New Roman"/>
          <w:b w:val="false"/>
          <w:i w:val="false"/>
          <w:color w:val="000000"/>
          <w:vertAlign w:val="subscript"/>
        </w:rPr>
        <w:t>C50</w:t>
      </w:r>
      <w:r>
        <w:rPr>
          <w:rFonts w:ascii="Times New Roman"/>
          <w:b w:val="false"/>
          <w:i w:val="false"/>
          <w:color w:val="000000"/>
          <w:sz w:val="28"/>
        </w:rPr>
        <w:t xml:space="preserve"> и L</w:t>
      </w:r>
      <w:r>
        <w:rPr>
          <w:rFonts w:ascii="Times New Roman"/>
          <w:b w:val="false"/>
          <w:i w:val="false"/>
          <w:color w:val="000000"/>
          <w:vertAlign w:val="subscript"/>
        </w:rPr>
        <w:t>M50</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Равенство значений критериев L</w:t>
      </w:r>
      <w:r>
        <w:rPr>
          <w:rFonts w:ascii="Times New Roman"/>
          <w:b w:val="false"/>
          <w:i w:val="false"/>
          <w:color w:val="000000"/>
          <w:vertAlign w:val="subscript"/>
        </w:rPr>
        <w:t>C50</w:t>
      </w:r>
      <w:r>
        <w:rPr>
          <w:rFonts w:ascii="Times New Roman"/>
          <w:b w:val="false"/>
          <w:i w:val="false"/>
          <w:color w:val="000000"/>
          <w:sz w:val="28"/>
        </w:rPr>
        <w:t>=L</w:t>
      </w:r>
      <w:r>
        <w:rPr>
          <w:rFonts w:ascii="Times New Roman"/>
          <w:b w:val="false"/>
          <w:i w:val="false"/>
          <w:color w:val="000000"/>
          <w:vertAlign w:val="subscript"/>
        </w:rPr>
        <w:t>M50</w:t>
      </w:r>
      <w:r>
        <w:rPr>
          <w:rFonts w:ascii="Times New Roman"/>
          <w:b w:val="false"/>
          <w:i w:val="false"/>
          <w:color w:val="000000"/>
          <w:sz w:val="28"/>
        </w:rPr>
        <w:t xml:space="preserve"> является граничным ориентиром состояния запаса того или иного вида рыб в водоеме.</w:t>
      </w:r>
    </w:p>
    <w:bookmarkEnd w:id="20"/>
    <w:bookmarkStart w:name="z30" w:id="21"/>
    <w:p>
      <w:pPr>
        <w:spacing w:after="0"/>
        <w:ind w:left="0"/>
        <w:jc w:val="both"/>
      </w:pPr>
      <w:r>
        <w:rPr>
          <w:rFonts w:ascii="Times New Roman"/>
          <w:b w:val="false"/>
          <w:i w:val="false"/>
          <w:color w:val="000000"/>
          <w:sz w:val="28"/>
        </w:rPr>
        <w:t>
      При L</w:t>
      </w:r>
      <w:r>
        <w:rPr>
          <w:rFonts w:ascii="Times New Roman"/>
          <w:b w:val="false"/>
          <w:i w:val="false"/>
          <w:color w:val="000000"/>
          <w:vertAlign w:val="subscript"/>
        </w:rPr>
        <w:t>C50</w:t>
      </w:r>
      <w:r>
        <w:rPr>
          <w:rFonts w:ascii="Times New Roman"/>
          <w:b w:val="false"/>
          <w:i w:val="false"/>
          <w:color w:val="000000"/>
          <w:sz w:val="28"/>
        </w:rPr>
        <w:t xml:space="preserve"> ≤ L</w:t>
      </w:r>
      <w:r>
        <w:rPr>
          <w:rFonts w:ascii="Times New Roman"/>
          <w:b w:val="false"/>
          <w:i w:val="false"/>
          <w:color w:val="000000"/>
          <w:vertAlign w:val="subscript"/>
        </w:rPr>
        <w:t>M50</w:t>
      </w:r>
      <w:r>
        <w:rPr>
          <w:rFonts w:ascii="Times New Roman"/>
          <w:b w:val="false"/>
          <w:i w:val="false"/>
          <w:color w:val="000000"/>
          <w:sz w:val="28"/>
        </w:rPr>
        <w:t>, при расчете ПДУ данного вида используются сниженные коэффициенты изъятия на данный вид рыбы в следующем календарном году должен быть меньше, чем в текущем году.</w:t>
      </w:r>
    </w:p>
    <w:bookmarkEnd w:id="21"/>
    <w:bookmarkStart w:name="z31" w:id="22"/>
    <w:p>
      <w:pPr>
        <w:spacing w:after="0"/>
        <w:ind w:left="0"/>
        <w:jc w:val="both"/>
      </w:pPr>
      <w:r>
        <w:rPr>
          <w:rFonts w:ascii="Times New Roman"/>
          <w:b w:val="false"/>
          <w:i w:val="false"/>
          <w:color w:val="000000"/>
          <w:sz w:val="28"/>
        </w:rPr>
        <w:t>
      При L</w:t>
      </w:r>
      <w:r>
        <w:rPr>
          <w:rFonts w:ascii="Times New Roman"/>
          <w:b w:val="false"/>
          <w:i w:val="false"/>
          <w:color w:val="000000"/>
          <w:vertAlign w:val="subscript"/>
        </w:rPr>
        <w:t>C50</w:t>
      </w:r>
      <w:r>
        <w:rPr>
          <w:rFonts w:ascii="Times New Roman"/>
          <w:b w:val="false"/>
          <w:i w:val="false"/>
          <w:color w:val="000000"/>
          <w:sz w:val="28"/>
        </w:rPr>
        <w:t xml:space="preserve"> ≥ L</w:t>
      </w:r>
      <w:r>
        <w:rPr>
          <w:rFonts w:ascii="Times New Roman"/>
          <w:b w:val="false"/>
          <w:i w:val="false"/>
          <w:color w:val="000000"/>
          <w:vertAlign w:val="subscript"/>
        </w:rPr>
        <w:t>M50</w:t>
      </w:r>
      <w:r>
        <w:rPr>
          <w:rFonts w:ascii="Times New Roman"/>
          <w:b w:val="false"/>
          <w:i w:val="false"/>
          <w:color w:val="000000"/>
          <w:sz w:val="28"/>
        </w:rPr>
        <w:t>, при расчете ПДУ не требуется применение мер управления (понижения коэффициента изъятия) запасами рыб.</w:t>
      </w:r>
    </w:p>
    <w:bookmarkEnd w:id="22"/>
    <w:bookmarkStart w:name="z32" w:id="23"/>
    <w:p>
      <w:pPr>
        <w:spacing w:after="0"/>
        <w:ind w:left="0"/>
        <w:jc w:val="both"/>
      </w:pPr>
      <w:r>
        <w:rPr>
          <w:rFonts w:ascii="Times New Roman"/>
          <w:b w:val="false"/>
          <w:i w:val="false"/>
          <w:color w:val="000000"/>
          <w:sz w:val="28"/>
        </w:rPr>
        <w:t>
      Параграф 7. Метод расчета коэффициентов изъятия рыб при предосторожном подходе к рыболовству</w:t>
      </w:r>
    </w:p>
    <w:bookmarkEnd w:id="23"/>
    <w:bookmarkStart w:name="z33" w:id="24"/>
    <w:p>
      <w:pPr>
        <w:spacing w:after="0"/>
        <w:ind w:left="0"/>
        <w:jc w:val="both"/>
      </w:pPr>
      <w:r>
        <w:rPr>
          <w:rFonts w:ascii="Times New Roman"/>
          <w:b w:val="false"/>
          <w:i w:val="false"/>
          <w:color w:val="000000"/>
          <w:sz w:val="28"/>
        </w:rPr>
        <w:t>
      209. При стабильном состоянии популяции расчет ведется в соответствии с общепринятыми методами, при этом используются методы "Тюрина, Зыкова, концепция неоднородности популяций Малкина", и другие.</w:t>
      </w:r>
    </w:p>
    <w:bookmarkEnd w:id="24"/>
    <w:bookmarkStart w:name="z34" w:id="25"/>
    <w:p>
      <w:pPr>
        <w:spacing w:after="0"/>
        <w:ind w:left="0"/>
        <w:jc w:val="both"/>
      </w:pPr>
      <w:r>
        <w:rPr>
          <w:rFonts w:ascii="Times New Roman"/>
          <w:b w:val="false"/>
          <w:i w:val="false"/>
          <w:color w:val="000000"/>
          <w:sz w:val="28"/>
        </w:rPr>
        <w:t>
      При достижении граничных ориентиров запаса по биологическим показателям рыб L</w:t>
      </w:r>
      <w:r>
        <w:rPr>
          <w:rFonts w:ascii="Times New Roman"/>
          <w:b w:val="false"/>
          <w:i w:val="false"/>
          <w:color w:val="000000"/>
          <w:vertAlign w:val="subscript"/>
        </w:rPr>
        <w:t>M50</w:t>
      </w:r>
      <w:r>
        <w:rPr>
          <w:rFonts w:ascii="Times New Roman"/>
          <w:b w:val="false"/>
          <w:i w:val="false"/>
          <w:color w:val="000000"/>
          <w:sz w:val="28"/>
        </w:rPr>
        <w:t>= L</w:t>
      </w:r>
      <w:r>
        <w:rPr>
          <w:rFonts w:ascii="Times New Roman"/>
          <w:b w:val="false"/>
          <w:i w:val="false"/>
          <w:color w:val="000000"/>
          <w:vertAlign w:val="subscript"/>
        </w:rPr>
        <w:t>C50</w:t>
      </w:r>
      <w:r>
        <w:rPr>
          <w:rFonts w:ascii="Times New Roman"/>
          <w:b w:val="false"/>
          <w:i w:val="false"/>
          <w:color w:val="000000"/>
          <w:sz w:val="28"/>
        </w:rPr>
        <w:t>, применяется формула Z=2F, то есть коэффициент изъятия F рассчитывается с коэффициентом 0,5 от коэффициента общей смертности Z.</w:t>
      </w:r>
    </w:p>
    <w:bookmarkEnd w:id="25"/>
    <w:bookmarkStart w:name="z35" w:id="26"/>
    <w:p>
      <w:pPr>
        <w:spacing w:after="0"/>
        <w:ind w:left="0"/>
        <w:jc w:val="both"/>
      </w:pPr>
      <w:r>
        <w:rPr>
          <w:rFonts w:ascii="Times New Roman"/>
          <w:b w:val="false"/>
          <w:i w:val="false"/>
          <w:color w:val="000000"/>
          <w:sz w:val="28"/>
        </w:rPr>
        <w:t xml:space="preserve">
      При достижении граничных ориентиров запаса по конкретному виду рыб коэффициент изъятия для данного вида устанавливается, исходя из предельного возраста Т у рыб данного вида в уловах (выборке). </w:t>
      </w:r>
    </w:p>
    <w:bookmarkEnd w:id="26"/>
    <w:bookmarkStart w:name="z36" w:id="27"/>
    <w:p>
      <w:pPr>
        <w:spacing w:after="0"/>
        <w:ind w:left="0"/>
        <w:jc w:val="both"/>
      </w:pPr>
      <w:r>
        <w:rPr>
          <w:rFonts w:ascii="Times New Roman"/>
          <w:b w:val="false"/>
          <w:i w:val="false"/>
          <w:color w:val="000000"/>
          <w:sz w:val="28"/>
        </w:rPr>
        <w:t xml:space="preserve">
      210. В таблице 60 приведены расчеты теоретических значений предельного возраста рыб при различных значениях коэффициента общей смертности (Z) и условии, что минимальная численность рыб составляет около 0,01 (1%). </w:t>
      </w:r>
    </w:p>
    <w:bookmarkEnd w:id="27"/>
    <w:bookmarkStart w:name="z37" w:id="28"/>
    <w:p>
      <w:pPr>
        <w:spacing w:after="0"/>
        <w:ind w:left="0"/>
        <w:jc w:val="both"/>
      </w:pPr>
      <w:r>
        <w:rPr>
          <w:rFonts w:ascii="Times New Roman"/>
          <w:b w:val="false"/>
          <w:i w:val="false"/>
          <w:color w:val="000000"/>
          <w:sz w:val="28"/>
        </w:rPr>
        <w:t>
      Для расчета коэффициента изъятия по предельному возрасту рыб в уловах, необходимо использовать вспомогательную таблицу 61. Например, при предельном возрасте рыб данного вида в уловах (выборке) в 5 лет, коэффициент изъятия устанавливается F=0,3. При предельном возрасте 13 лет, коэффициент изъятия устанавливается F=0,15.";</w:t>
      </w:r>
    </w:p>
    <w:bookmarkEnd w:id="28"/>
    <w:bookmarkStart w:name="z38" w:id="2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указанной Методике:</w:t>
      </w:r>
    </w:p>
    <w:bookmarkEnd w:id="29"/>
    <w:bookmarkStart w:name="z39" w:id="30"/>
    <w:p>
      <w:pPr>
        <w:spacing w:after="0"/>
        <w:ind w:left="0"/>
        <w:jc w:val="both"/>
      </w:pPr>
      <w:r>
        <w:rPr>
          <w:rFonts w:ascii="Times New Roman"/>
          <w:b w:val="false"/>
          <w:i w:val="false"/>
          <w:color w:val="000000"/>
          <w:sz w:val="28"/>
        </w:rPr>
        <w:t>
      дополнить таблицами 60 и 61 следующего содержания:</w:t>
      </w:r>
    </w:p>
    <w:bookmarkEnd w:id="30"/>
    <w:bookmarkStart w:name="z40" w:id="31"/>
    <w:p>
      <w:pPr>
        <w:spacing w:after="0"/>
        <w:ind w:left="0"/>
        <w:jc w:val="both"/>
      </w:pPr>
      <w:r>
        <w:rPr>
          <w:rFonts w:ascii="Times New Roman"/>
          <w:b w:val="false"/>
          <w:i w:val="false"/>
          <w:color w:val="000000"/>
          <w:sz w:val="28"/>
        </w:rPr>
        <w:t>
      "Таблица 60 – Численность популяции рыб в зависимости от коэффициента общей смертности (годовой убыли) (в значениях от 0 до 1)</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1125"/>
        <w:gridCol w:w="1125"/>
        <w:gridCol w:w="1125"/>
        <w:gridCol w:w="1125"/>
        <w:gridCol w:w="1125"/>
        <w:gridCol w:w="1125"/>
        <w:gridCol w:w="1125"/>
        <w:gridCol w:w="1338"/>
        <w:gridCol w:w="1125"/>
        <w:gridCol w:w="1340"/>
      </w:tblGrid>
      <w:tr>
        <w:trPr>
          <w:trHeight w:val="30" w:hRule="atLeast"/>
        </w:trPr>
        <w:tc>
          <w:tcPr>
            <w:tcW w:w="6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2"/>
          <w:p>
            <w:pPr>
              <w:spacing w:after="20"/>
              <w:ind w:left="20"/>
              <w:jc w:val="both"/>
            </w:pPr>
            <w:r>
              <w:rPr>
                <w:rFonts w:ascii="Times New Roman"/>
                <w:b w:val="false"/>
                <w:i w:val="false"/>
                <w:color w:val="000000"/>
                <w:sz w:val="20"/>
              </w:rPr>
              <w:t>
Возраст, лет</w:t>
            </w:r>
          </w:p>
          <w:bookmarkEnd w:id="32"/>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годовой убыли Z</w:t>
            </w:r>
          </w:p>
        </w:tc>
      </w:tr>
      <w:tr>
        <w:trPr>
          <w:trHeight w:val="30" w:hRule="atLeast"/>
        </w:trPr>
        <w:tc>
          <w:tcPr>
            <w:tcW w:w="0" w:type="auto"/>
            <w:vMerge/>
            <w:tcBorders>
              <w:top w:val="nil"/>
              <w:left w:val="single" w:color="cfcfcf" w:sz="5"/>
              <w:bottom w:val="single" w:color="cfcfcf" w:sz="5"/>
              <w:right w:val="single" w:color="cfcfcf" w:sz="5"/>
            </w:tcBorders>
          </w:tcP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0+</w:t>
            </w:r>
          </w:p>
          <w:bookmarkEnd w:id="33"/>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w:t>
            </w:r>
          </w:p>
          <w:bookmarkEnd w:id="34"/>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2</w:t>
            </w:r>
          </w:p>
          <w:bookmarkEnd w:id="35"/>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3</w:t>
            </w:r>
          </w:p>
          <w:bookmarkEnd w:id="36"/>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0,166</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4</w:t>
            </w:r>
          </w:p>
          <w:bookmarkEnd w:id="37"/>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0,0625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0,0256</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5</w:t>
            </w:r>
          </w:p>
          <w:bookmarkEnd w:id="38"/>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6</w:t>
            </w:r>
          </w:p>
          <w:bookmarkEnd w:id="39"/>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7</w:t>
            </w:r>
          </w:p>
          <w:bookmarkEnd w:id="40"/>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8</w:t>
            </w:r>
          </w:p>
          <w:bookmarkEnd w:id="41"/>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0,076</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9</w:t>
            </w:r>
          </w:p>
          <w:bookmarkEnd w:id="42"/>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10</w:t>
            </w:r>
          </w:p>
          <w:bookmarkEnd w:id="43"/>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11</w:t>
            </w:r>
          </w:p>
          <w:bookmarkEnd w:id="44"/>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0,013</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12</w:t>
            </w:r>
          </w:p>
          <w:bookmarkEnd w:id="45"/>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0,014</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13</w:t>
            </w:r>
          </w:p>
          <w:bookmarkEnd w:id="46"/>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14</w:t>
            </w:r>
          </w:p>
          <w:bookmarkEnd w:id="47"/>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 w:id="48"/>
    <w:p>
      <w:pPr>
        <w:spacing w:after="0"/>
        <w:ind w:left="0"/>
        <w:jc w:val="both"/>
      </w:pPr>
      <w:r>
        <w:rPr>
          <w:rFonts w:ascii="Times New Roman"/>
          <w:b w:val="false"/>
          <w:i w:val="false"/>
          <w:color w:val="000000"/>
          <w:sz w:val="28"/>
        </w:rPr>
        <w:t>
      Таблица 61 – Коэффициенты общей смертности Z (годовой убыли) и рекомендуемые коэффициенты изъятия F при достижении граничных ориентиров запаса, исходя из наблюдаемых значений предельного возраста рыб в уловах (выборке)</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828"/>
        <w:gridCol w:w="1329"/>
        <w:gridCol w:w="1079"/>
        <w:gridCol w:w="1329"/>
        <w:gridCol w:w="828"/>
        <w:gridCol w:w="1329"/>
        <w:gridCol w:w="1329"/>
        <w:gridCol w:w="1330"/>
        <w:gridCol w:w="1080"/>
        <w:gridCol w:w="1331"/>
      </w:tblGrid>
      <w:tr>
        <w:trPr>
          <w:trHeight w:val="30" w:hRule="atLeast"/>
        </w:trPr>
        <w:tc>
          <w:tcPr>
            <w:tcW w:w="5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Коэффициенты</w:t>
            </w:r>
          </w:p>
          <w:bookmarkEnd w:id="49"/>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(предельный возраст в уловах)</w:t>
            </w:r>
          </w:p>
        </w:tc>
      </w:tr>
      <w:tr>
        <w:trPr>
          <w:trHeight w:val="30" w:hRule="atLeast"/>
        </w:trPr>
        <w:tc>
          <w:tcPr>
            <w:tcW w:w="0" w:type="auto"/>
            <w:vMerge/>
            <w:tcBorders>
              <w:top w:val="nil"/>
              <w:left w:val="single" w:color="cfcfcf" w:sz="5"/>
              <w:bottom w:val="single" w:color="cfcfcf" w:sz="5"/>
              <w:right w:val="single" w:color="cfcfcf" w:sz="5"/>
            </w:tcBorders>
          </w:tcP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0"/>
          <w:p>
            <w:pPr>
              <w:spacing w:after="20"/>
              <w:ind w:left="20"/>
              <w:jc w:val="both"/>
            </w:pPr>
            <w:r>
              <w:rPr>
                <w:rFonts w:ascii="Times New Roman"/>
                <w:b w:val="false"/>
                <w:i w:val="false"/>
                <w:color w:val="000000"/>
                <w:sz w:val="20"/>
              </w:rPr>
              <w:t>
Z</w:t>
            </w:r>
          </w:p>
          <w:bookmarkEnd w:id="50"/>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1"/>
          <w:p>
            <w:pPr>
              <w:spacing w:after="20"/>
              <w:ind w:left="20"/>
              <w:jc w:val="both"/>
            </w:pPr>
            <w:r>
              <w:rPr>
                <w:rFonts w:ascii="Times New Roman"/>
                <w:b w:val="false"/>
                <w:i w:val="false"/>
                <w:color w:val="000000"/>
                <w:sz w:val="20"/>
              </w:rPr>
              <w:t>
F</w:t>
            </w:r>
          </w:p>
          <w:bookmarkEnd w:id="51"/>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0,188</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0,175</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0,163</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 w:id="52"/>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52"/>
    <w:bookmarkStart w:name="z65" w:id="5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3"/>
    <w:bookmarkStart w:name="z66" w:id="5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54"/>
    <w:bookmarkStart w:name="z67" w:id="5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5"/>
    <w:bookmarkStart w:name="z68" w:id="56"/>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56"/>
    <w:bookmarkStart w:name="z69" w:id="5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представление в Департамент юридической службы сведений об исполнении мероприятий, предусмотренных подпунктами 1), 2), 3) и 4) настоящего пункта.</w:t>
      </w:r>
    </w:p>
    <w:bookmarkEnd w:id="57"/>
    <w:bookmarkStart w:name="z70" w:id="58"/>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5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Заместитель Премьер – Министра</w:t>
            </w:r>
            <w:r>
              <w:br/>
            </w:r>
            <w:r>
              <w:rPr>
                <w:rFonts w:ascii="Times New Roman"/>
                <w:b w:val="false"/>
                <w:i/>
                <w:color w:val="000000"/>
                <w:sz w:val="20"/>
              </w:rPr>
              <w:t>Республики Казахстан –</w:t>
            </w:r>
            <w:r>
              <w:br/>
            </w:r>
            <w:r>
              <w:rPr>
                <w:rFonts w:ascii="Times New Roman"/>
                <w:b w:val="false"/>
                <w:i/>
                <w:color w:val="000000"/>
                <w:sz w:val="20"/>
              </w:rPr>
              <w:t>Министр сельского хозяйства</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Шукеев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