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8ed14" w14:textId="1d8ed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приказ Министра национальной экономики Республики Казахстан от 11 декабря 2014 года № 139 "Об утверждении методики расчетов трансфертов общего характера"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15 февраля 2018 года № 46. Зарегистрирован в Министерстве юстиции Республики Казахстан 2 марта 2018 года № 16477. Утратил силу приказом Заместителя Премьер-Министра - Министра национальной экономики Республики Казахстан от 26 августа 2025 года № 84.</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26.08.2025 </w:t>
      </w:r>
      <w:r>
        <w:rPr>
          <w:rFonts w:ascii="Times New Roman"/>
          <w:b w:val="false"/>
          <w:i w:val="false"/>
          <w:color w:val="ff0000"/>
          <w:sz w:val="28"/>
        </w:rPr>
        <w:t>№ 84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45 Бюджетного кодекса Республики Казахстан от 4 декабря 2008 года и в целях совершенствования межбюджетных отношений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национальной экономики Республики Казахстан от 11 декабря 2014 года № 139 "Об утверждении методики расчетов трансфертов общего характера" (зарегистрирован в Реестре государственной регистрации нормативных правовых актов за № 10068, опубликован 30 января 2015 года в информационно-правовой системе "Әділет")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Методику</w:t>
      </w:r>
      <w:r>
        <w:rPr>
          <w:rFonts w:ascii="Times New Roman"/>
          <w:b w:val="false"/>
          <w:i w:val="false"/>
          <w:color w:val="000000"/>
          <w:sz w:val="28"/>
        </w:rPr>
        <w:t xml:space="preserve"> расчетов трансфертов общего характера, утвержденную указанным приказом,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Start w:name="z7" w:id="2"/>
    <w:p>
      <w:pPr>
        <w:spacing w:after="0"/>
        <w:ind w:left="0"/>
        <w:jc w:val="both"/>
      </w:pPr>
      <w:r>
        <w:rPr>
          <w:rFonts w:ascii="Times New Roman"/>
          <w:b w:val="false"/>
          <w:i w:val="false"/>
          <w:color w:val="000000"/>
          <w:sz w:val="28"/>
        </w:rPr>
        <w:t>
      2. Департаменту бюджетной политики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в Министерстве юстиции Республики Казахстан направление его копии в бумажном и электронном виде на казахском и русском языках на официальное опубликование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4"/>
    <w:bookmarkStart w:name="z10" w:id="5"/>
    <w:p>
      <w:pPr>
        <w:spacing w:after="0"/>
        <w:ind w:left="0"/>
        <w:jc w:val="both"/>
      </w:pPr>
      <w:r>
        <w:rPr>
          <w:rFonts w:ascii="Times New Roman"/>
          <w:b w:val="false"/>
          <w:i w:val="false"/>
          <w:color w:val="000000"/>
          <w:sz w:val="28"/>
        </w:rPr>
        <w:t>
      3) размещение настоящего приказа на интернет - ресурсе Министерства национальной экономики Республики Казахстан;</w:t>
      </w:r>
    </w:p>
    <w:bookmarkEnd w:id="5"/>
    <w:bookmarkStart w:name="z11" w:id="6"/>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национальной экономики Республики Казахстан сведений об исполнении мероприятий, предусмотренных подпунктами 1), 2) и 3) настоящего пункта.</w:t>
      </w:r>
    </w:p>
    <w:bookmarkEnd w:id="6"/>
    <w:bookmarkStart w:name="z12" w:id="7"/>
    <w:p>
      <w:pPr>
        <w:spacing w:after="0"/>
        <w:ind w:left="0"/>
        <w:jc w:val="both"/>
      </w:pPr>
      <w:r>
        <w:rPr>
          <w:rFonts w:ascii="Times New Roman"/>
          <w:b w:val="false"/>
          <w:i w:val="false"/>
          <w:color w:val="000000"/>
          <w:sz w:val="28"/>
        </w:rPr>
        <w:t>
      3. Контроль за исполнением настоящего приказа возложить на первого вице-министра национальной экономики Республики Казахстан.</w:t>
      </w:r>
    </w:p>
    <w:bookmarkEnd w:id="7"/>
    <w:bookmarkStart w:name="z13" w:id="8"/>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национальной экономики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Сулейменов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r>
              <w:br/>
            </w:r>
            <w:r>
              <w:rPr>
                <w:rFonts w:ascii="Times New Roman"/>
                <w:b w:val="false"/>
                <w:i w:val="false"/>
                <w:color w:val="000000"/>
                <w:sz w:val="20"/>
              </w:rPr>
              <w:t>к приказу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февраля 2018 года № 46</w:t>
            </w:r>
            <w:r>
              <w:br/>
            </w: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11 декабря 2014 года № 139</w:t>
            </w:r>
          </w:p>
        </w:tc>
      </w:tr>
    </w:tbl>
    <w:bookmarkStart w:name="z16" w:id="9"/>
    <w:p>
      <w:pPr>
        <w:spacing w:after="0"/>
        <w:ind w:left="0"/>
        <w:jc w:val="left"/>
      </w:pPr>
      <w:r>
        <w:rPr>
          <w:rFonts w:ascii="Times New Roman"/>
          <w:b/>
          <w:i w:val="false"/>
          <w:color w:val="000000"/>
        </w:rPr>
        <w:t xml:space="preserve"> Методика расчетов трансфертов общего характера</w:t>
      </w:r>
    </w:p>
    <w:bookmarkEnd w:id="9"/>
    <w:bookmarkStart w:name="z17" w:id="10"/>
    <w:p>
      <w:pPr>
        <w:spacing w:after="0"/>
        <w:ind w:left="0"/>
        <w:jc w:val="left"/>
      </w:pPr>
      <w:r>
        <w:rPr>
          <w:rFonts w:ascii="Times New Roman"/>
          <w:b/>
          <w:i w:val="false"/>
          <w:color w:val="000000"/>
        </w:rPr>
        <w:t xml:space="preserve"> Глава 1. Основные положения</w:t>
      </w:r>
    </w:p>
    <w:bookmarkEnd w:id="10"/>
    <w:bookmarkStart w:name="z18" w:id="11"/>
    <w:p>
      <w:pPr>
        <w:spacing w:after="0"/>
        <w:ind w:left="0"/>
        <w:jc w:val="both"/>
      </w:pPr>
      <w:r>
        <w:rPr>
          <w:rFonts w:ascii="Times New Roman"/>
          <w:b w:val="false"/>
          <w:i w:val="false"/>
          <w:color w:val="000000"/>
          <w:sz w:val="28"/>
        </w:rPr>
        <w:t xml:space="preserve">
      1. Настоящая методика расчетов трансфертов общего характера (далее – Методика) разработана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Бюджетного кодекса Республики Казахстан от 4 декабря 2008 года (далее – Бюджетный кодекс) и применяется при определении объемов трансфертов общего характера на трехлетний период для бюджетов областей, городов республиканского значения, столицы и при их изменении через каждые три года.</w:t>
      </w:r>
    </w:p>
    <w:bookmarkEnd w:id="11"/>
    <w:bookmarkStart w:name="z19" w:id="12"/>
    <w:p>
      <w:pPr>
        <w:spacing w:after="0"/>
        <w:ind w:left="0"/>
        <w:jc w:val="left"/>
      </w:pPr>
      <w:r>
        <w:rPr>
          <w:rFonts w:ascii="Times New Roman"/>
          <w:b/>
          <w:i w:val="false"/>
          <w:color w:val="000000"/>
        </w:rPr>
        <w:t xml:space="preserve"> Глава 2. Определение объемов трансфертов общего характера</w:t>
      </w:r>
    </w:p>
    <w:bookmarkEnd w:id="12"/>
    <w:bookmarkStart w:name="z20" w:id="13"/>
    <w:p>
      <w:pPr>
        <w:spacing w:after="0"/>
        <w:ind w:left="0"/>
        <w:jc w:val="both"/>
      </w:pPr>
      <w:r>
        <w:rPr>
          <w:rFonts w:ascii="Times New Roman"/>
          <w:b w:val="false"/>
          <w:i w:val="false"/>
          <w:color w:val="000000"/>
          <w:sz w:val="28"/>
        </w:rPr>
        <w:t xml:space="preserve">
      2. Объемы трансфертов общего характера определяются как разница между прогнозными объемами доходов (за минусом трансфертов) и затрат соответствующего бюджетов областей, городов республиканского значения, столицы согласно </w:t>
      </w:r>
      <w:r>
        <w:rPr>
          <w:rFonts w:ascii="Times New Roman"/>
          <w:b w:val="false"/>
          <w:i w:val="false"/>
          <w:color w:val="000000"/>
          <w:sz w:val="28"/>
        </w:rPr>
        <w:t>Бюджетному кодексу</w:t>
      </w:r>
      <w:r>
        <w:rPr>
          <w:rFonts w:ascii="Times New Roman"/>
          <w:b w:val="false"/>
          <w:i w:val="false"/>
          <w:color w:val="000000"/>
          <w:sz w:val="28"/>
        </w:rPr>
        <w:t xml:space="preserve"> и рассчитываются по следующей формуле:</w:t>
      </w:r>
    </w:p>
    <w:bookmarkEnd w:id="13"/>
    <w:bookmarkStart w:name="z21"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19431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431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bookmarkStart w:name="z22" w:id="15"/>
    <w:p>
      <w:pPr>
        <w:spacing w:after="0"/>
        <w:ind w:left="0"/>
        <w:jc w:val="both"/>
      </w:pPr>
      <w:r>
        <w:rPr>
          <w:rFonts w:ascii="Times New Roman"/>
          <w:b w:val="false"/>
          <w:i w:val="false"/>
          <w:color w:val="000000"/>
          <w:sz w:val="28"/>
        </w:rPr>
        <w:t>
      ТОХi – объемы трансфертов общего характера i-й области (города республиканского значения, столицы);</w:t>
      </w:r>
    </w:p>
    <w:bookmarkEnd w:id="15"/>
    <w:bookmarkStart w:name="z23" w:id="16"/>
    <w:p>
      <w:pPr>
        <w:spacing w:after="0"/>
        <w:ind w:left="0"/>
        <w:jc w:val="both"/>
      </w:pPr>
      <w:r>
        <w:rPr>
          <w:rFonts w:ascii="Times New Roman"/>
          <w:b w:val="false"/>
          <w:i w:val="false"/>
          <w:color w:val="000000"/>
          <w:sz w:val="28"/>
        </w:rPr>
        <w:t>
      ПОДi – прогнозные объемы доходов i-й области (города республиканского значения, столицы);</w:t>
      </w:r>
    </w:p>
    <w:bookmarkEnd w:id="16"/>
    <w:bookmarkStart w:name="z24" w:id="17"/>
    <w:p>
      <w:pPr>
        <w:spacing w:after="0"/>
        <w:ind w:left="0"/>
        <w:jc w:val="both"/>
      </w:pPr>
      <w:r>
        <w:rPr>
          <w:rFonts w:ascii="Times New Roman"/>
          <w:b w:val="false"/>
          <w:i w:val="false"/>
          <w:color w:val="000000"/>
          <w:sz w:val="28"/>
        </w:rPr>
        <w:t>
      ПОЗi – прогнозные объемы затрат i-й области (города республиканского значения, столицы).</w:t>
      </w:r>
    </w:p>
    <w:bookmarkEnd w:id="17"/>
    <w:bookmarkStart w:name="z25" w:id="18"/>
    <w:p>
      <w:pPr>
        <w:spacing w:after="0"/>
        <w:ind w:left="0"/>
        <w:jc w:val="both"/>
      </w:pPr>
      <w:r>
        <w:rPr>
          <w:rFonts w:ascii="Times New Roman"/>
          <w:b w:val="false"/>
          <w:i w:val="false"/>
          <w:color w:val="000000"/>
          <w:sz w:val="28"/>
        </w:rPr>
        <w:t>
      При превышении прогнозного объема доходов над прогнозным объемом затрат бюджетов областей, городов республиканского значения, столицы (ТОХi &gt; 0) устанавливаются бюджетные изъятия из бюджетов областей, городов республиканского значения, столицы в вышестоящий бюджет.</w:t>
      </w:r>
    </w:p>
    <w:bookmarkEnd w:id="18"/>
    <w:bookmarkStart w:name="z26" w:id="19"/>
    <w:p>
      <w:pPr>
        <w:spacing w:after="0"/>
        <w:ind w:left="0"/>
        <w:jc w:val="both"/>
      </w:pPr>
      <w:r>
        <w:rPr>
          <w:rFonts w:ascii="Times New Roman"/>
          <w:b w:val="false"/>
          <w:i w:val="false"/>
          <w:color w:val="000000"/>
          <w:sz w:val="28"/>
        </w:rPr>
        <w:t>
      При превышении прогнозного объема затрат над прогнозным объемом доходов бюджетов областей, городов республиканского значения, столицы (ТОХi &lt; 0) устанавливаются бюджетные субвенции в бюджет области, города республиканского значения, столицы из вышестоящего бюджета.</w:t>
      </w:r>
    </w:p>
    <w:bookmarkEnd w:id="19"/>
    <w:bookmarkStart w:name="z27" w:id="20"/>
    <w:p>
      <w:pPr>
        <w:spacing w:after="0"/>
        <w:ind w:left="0"/>
        <w:jc w:val="left"/>
      </w:pPr>
      <w:r>
        <w:rPr>
          <w:rFonts w:ascii="Times New Roman"/>
          <w:b/>
          <w:i w:val="false"/>
          <w:color w:val="000000"/>
        </w:rPr>
        <w:t xml:space="preserve"> Глава 3. Определение прогнозных объемов доходов бюджетов областей, городов республиканского значения, столицы</w:t>
      </w:r>
    </w:p>
    <w:bookmarkEnd w:id="20"/>
    <w:bookmarkStart w:name="z28" w:id="21"/>
    <w:p>
      <w:pPr>
        <w:spacing w:after="0"/>
        <w:ind w:left="0"/>
        <w:jc w:val="both"/>
      </w:pPr>
      <w:r>
        <w:rPr>
          <w:rFonts w:ascii="Times New Roman"/>
          <w:b w:val="false"/>
          <w:i w:val="false"/>
          <w:color w:val="000000"/>
          <w:sz w:val="28"/>
        </w:rPr>
        <w:t xml:space="preserve">
      3. Прогнозные объемы доходов бюджетов областей, городов республиканского значения, столицы рассчитываются согласно Методике прогнозирования поступлений бюджета, утверждаемой в соответствии со </w:t>
      </w:r>
      <w:r>
        <w:rPr>
          <w:rFonts w:ascii="Times New Roman"/>
          <w:b w:val="false"/>
          <w:i w:val="false"/>
          <w:color w:val="000000"/>
          <w:sz w:val="28"/>
        </w:rPr>
        <w:t>статьей 65</w:t>
      </w:r>
      <w:r>
        <w:rPr>
          <w:rFonts w:ascii="Times New Roman"/>
          <w:b w:val="false"/>
          <w:i w:val="false"/>
          <w:color w:val="000000"/>
          <w:sz w:val="28"/>
        </w:rPr>
        <w:t xml:space="preserve"> Бюджетного кодекса.</w:t>
      </w:r>
    </w:p>
    <w:bookmarkEnd w:id="21"/>
    <w:bookmarkStart w:name="z29" w:id="22"/>
    <w:p>
      <w:pPr>
        <w:spacing w:after="0"/>
        <w:ind w:left="0"/>
        <w:jc w:val="left"/>
      </w:pPr>
      <w:r>
        <w:rPr>
          <w:rFonts w:ascii="Times New Roman"/>
          <w:b/>
          <w:i w:val="false"/>
          <w:color w:val="000000"/>
        </w:rPr>
        <w:t xml:space="preserve"> Глава 4. Определение прогнозных объемов затрат бюджетов областей, городов республиканского значения, столицы</w:t>
      </w:r>
    </w:p>
    <w:bookmarkEnd w:id="22"/>
    <w:bookmarkStart w:name="z30" w:id="23"/>
    <w:p>
      <w:pPr>
        <w:spacing w:after="0"/>
        <w:ind w:left="0"/>
        <w:jc w:val="both"/>
      </w:pPr>
      <w:r>
        <w:rPr>
          <w:rFonts w:ascii="Times New Roman"/>
          <w:b w:val="false"/>
          <w:i w:val="false"/>
          <w:color w:val="000000"/>
          <w:sz w:val="28"/>
        </w:rPr>
        <w:t xml:space="preserve">
      4. Прогнозные объемы затрат бюджетов областей, городов республиканского значения, столицы рассчитываются как сумма прогнозных объемов затрат по текущим бюджетным программам и по бюджетным программам развития с учетом установленных </w:t>
      </w:r>
      <w:r>
        <w:rPr>
          <w:rFonts w:ascii="Times New Roman"/>
          <w:b w:val="false"/>
          <w:i w:val="false"/>
          <w:color w:val="000000"/>
          <w:sz w:val="28"/>
        </w:rPr>
        <w:t>статьями 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56-1</w:t>
      </w:r>
      <w:r>
        <w:rPr>
          <w:rFonts w:ascii="Times New Roman"/>
          <w:b w:val="false"/>
          <w:i w:val="false"/>
          <w:color w:val="000000"/>
          <w:sz w:val="28"/>
        </w:rPr>
        <w:t xml:space="preserve"> Бюджетного кодекса направлений расходов по функциональному признаку.</w:t>
      </w:r>
    </w:p>
    <w:bookmarkEnd w:id="23"/>
    <w:bookmarkStart w:name="z31" w:id="24"/>
    <w:p>
      <w:pPr>
        <w:spacing w:after="0"/>
        <w:ind w:left="0"/>
        <w:jc w:val="both"/>
      </w:pPr>
      <w:r>
        <w:rPr>
          <w:rFonts w:ascii="Times New Roman"/>
          <w:b w:val="false"/>
          <w:i w:val="false"/>
          <w:color w:val="000000"/>
          <w:sz w:val="28"/>
        </w:rPr>
        <w:t>
      При этом прогнозные объемы затрат по текущим бюджетным программам, которые направлены на обеспечение деятельности администраторов бюджетных программ по выполнению функций государственного управления и обязательств государства в соответствии с законодательными актами Республики Казахстан, имеющих постоянный характер, а также на достижение цели, решение конкретных задач и мероприятий стратегических и программных документов, состоят из:</w:t>
      </w:r>
    </w:p>
    <w:bookmarkEnd w:id="24"/>
    <w:bookmarkStart w:name="z32" w:id="25"/>
    <w:p>
      <w:pPr>
        <w:spacing w:after="0"/>
        <w:ind w:left="0"/>
        <w:jc w:val="both"/>
      </w:pPr>
      <w:r>
        <w:rPr>
          <w:rFonts w:ascii="Times New Roman"/>
          <w:b w:val="false"/>
          <w:i w:val="false"/>
          <w:color w:val="000000"/>
          <w:sz w:val="28"/>
        </w:rPr>
        <w:t>
      затрат на оплату труда, оплата коммунальных услуг, приобретение продуктов и лекарственных средств, выплата пособий и других затрат (далее – текущие затраты);</w:t>
      </w:r>
    </w:p>
    <w:bookmarkEnd w:id="25"/>
    <w:bookmarkStart w:name="z33" w:id="26"/>
    <w:p>
      <w:pPr>
        <w:spacing w:after="0"/>
        <w:ind w:left="0"/>
        <w:jc w:val="both"/>
      </w:pPr>
      <w:r>
        <w:rPr>
          <w:rFonts w:ascii="Times New Roman"/>
          <w:b w:val="false"/>
          <w:i w:val="false"/>
          <w:color w:val="000000"/>
          <w:sz w:val="28"/>
        </w:rPr>
        <w:t>
      затрат на укрепление материально-технической базы, капитальный ремонт и других затрат (далее – затраты капитального характера).</w:t>
      </w:r>
    </w:p>
    <w:bookmarkEnd w:id="26"/>
    <w:bookmarkStart w:name="z34" w:id="27"/>
    <w:p>
      <w:pPr>
        <w:spacing w:after="0"/>
        <w:ind w:left="0"/>
        <w:jc w:val="left"/>
      </w:pPr>
      <w:r>
        <w:rPr>
          <w:rFonts w:ascii="Times New Roman"/>
          <w:b/>
          <w:i w:val="false"/>
          <w:color w:val="000000"/>
        </w:rPr>
        <w:t xml:space="preserve"> Параграф 1. Расчет прогнозных объемов текущих затрат бюджетов областей, городов республиканского значения, столицы</w:t>
      </w:r>
    </w:p>
    <w:bookmarkEnd w:id="27"/>
    <w:bookmarkStart w:name="z35" w:id="28"/>
    <w:p>
      <w:pPr>
        <w:spacing w:after="0"/>
        <w:ind w:left="0"/>
        <w:jc w:val="both"/>
      </w:pPr>
      <w:r>
        <w:rPr>
          <w:rFonts w:ascii="Times New Roman"/>
          <w:b w:val="false"/>
          <w:i w:val="false"/>
          <w:color w:val="000000"/>
          <w:sz w:val="28"/>
        </w:rPr>
        <w:t>
      5. Прогнозные объемы текущих затрат бюджетов областей, городов республиканского значения, столицы, рассчитанные с помощью данной Методики, используются только для определения размеров трансфертов общего характера.</w:t>
      </w:r>
    </w:p>
    <w:bookmarkEnd w:id="28"/>
    <w:bookmarkStart w:name="z36" w:id="29"/>
    <w:p>
      <w:pPr>
        <w:spacing w:after="0"/>
        <w:ind w:left="0"/>
        <w:jc w:val="both"/>
      </w:pPr>
      <w:r>
        <w:rPr>
          <w:rFonts w:ascii="Times New Roman"/>
          <w:b w:val="false"/>
          <w:i w:val="false"/>
          <w:color w:val="000000"/>
          <w:sz w:val="28"/>
        </w:rPr>
        <w:t>
      6. Для расчета текущих затрат определяется прогнозный объем текущих затрат в целом по бюджетам областей, городов республиканского значения, столицы.</w:t>
      </w:r>
    </w:p>
    <w:bookmarkEnd w:id="29"/>
    <w:bookmarkStart w:name="z37" w:id="30"/>
    <w:p>
      <w:pPr>
        <w:spacing w:after="0"/>
        <w:ind w:left="0"/>
        <w:jc w:val="both"/>
      </w:pPr>
      <w:r>
        <w:rPr>
          <w:rFonts w:ascii="Times New Roman"/>
          <w:b w:val="false"/>
          <w:i w:val="false"/>
          <w:color w:val="000000"/>
          <w:sz w:val="28"/>
        </w:rPr>
        <w:t>
      7. При определении прогнозного объема текущих затрат бюджетов областей, городов республиканского значения, столицы учитываются:</w:t>
      </w:r>
    </w:p>
    <w:bookmarkEnd w:id="30"/>
    <w:bookmarkStart w:name="z38" w:id="31"/>
    <w:p>
      <w:pPr>
        <w:spacing w:after="0"/>
        <w:ind w:left="0"/>
        <w:jc w:val="both"/>
      </w:pPr>
      <w:r>
        <w:rPr>
          <w:rFonts w:ascii="Times New Roman"/>
          <w:b w:val="false"/>
          <w:i w:val="false"/>
          <w:color w:val="000000"/>
          <w:sz w:val="28"/>
        </w:rPr>
        <w:t>
      1) совокупный объем текущих затрат с учетом увеличения текущих затрат на индекс потребительских цен в планируемом периоде в соответствии с прогнозом социально-экономического развития и бюджетных параметров республики (за исключением заработной платы);</w:t>
      </w:r>
    </w:p>
    <w:bookmarkEnd w:id="31"/>
    <w:bookmarkStart w:name="z39" w:id="32"/>
    <w:p>
      <w:pPr>
        <w:spacing w:after="0"/>
        <w:ind w:left="0"/>
        <w:jc w:val="both"/>
      </w:pPr>
      <w:r>
        <w:rPr>
          <w:rFonts w:ascii="Times New Roman"/>
          <w:b w:val="false"/>
          <w:i w:val="false"/>
          <w:color w:val="000000"/>
          <w:sz w:val="28"/>
        </w:rPr>
        <w:t>
      2) положения законов Республики Казахстан, предусматривающие увеличение или сокращение расходов местных бюджетов и вводимые в действие в планируемом периоде;</w:t>
      </w:r>
    </w:p>
    <w:bookmarkEnd w:id="32"/>
    <w:bookmarkStart w:name="z40" w:id="33"/>
    <w:p>
      <w:pPr>
        <w:spacing w:after="0"/>
        <w:ind w:left="0"/>
        <w:jc w:val="both"/>
      </w:pPr>
      <w:r>
        <w:rPr>
          <w:rFonts w:ascii="Times New Roman"/>
          <w:b w:val="false"/>
          <w:i w:val="false"/>
          <w:color w:val="000000"/>
          <w:sz w:val="28"/>
        </w:rPr>
        <w:t>
      3) положения проектов указов Президента Республики Казахстан, постановлений Правительства Республики Казахстан, нормативных правовых приказов министров Республики Казахстан и иных руководителей центральных государственных органов, нормативных правовых постановлений центральных государственных органов, нормативных правовых приказов руководителей ведомств центральных государственных органов при наличии прямой компетенции по их утверждению в нормативных правовых актах государственного органа, в структуру которого входит ведомство, предусматривающие сокращение поступлений или увеличение расходов местных бюджетов и вводимые в действие в планируемом периоде, после обязательного рассмотрения Республиканской бюджетной комиссии;</w:t>
      </w:r>
    </w:p>
    <w:bookmarkEnd w:id="33"/>
    <w:bookmarkStart w:name="z41" w:id="34"/>
    <w:p>
      <w:pPr>
        <w:spacing w:after="0"/>
        <w:ind w:left="0"/>
        <w:jc w:val="both"/>
      </w:pPr>
      <w:r>
        <w:rPr>
          <w:rFonts w:ascii="Times New Roman"/>
          <w:b w:val="false"/>
          <w:i w:val="false"/>
          <w:color w:val="000000"/>
          <w:sz w:val="28"/>
        </w:rPr>
        <w:t>
      4) затраты постоянного характера, ранее финансировавшиеся за счет целевых текущих трансфертов абсолютными суммами по регионам по решению Республиканской бюджетной комиссии.</w:t>
      </w:r>
    </w:p>
    <w:bookmarkEnd w:id="34"/>
    <w:bookmarkStart w:name="z42" w:id="35"/>
    <w:p>
      <w:pPr>
        <w:spacing w:after="0"/>
        <w:ind w:left="0"/>
        <w:jc w:val="both"/>
      </w:pPr>
      <w:r>
        <w:rPr>
          <w:rFonts w:ascii="Times New Roman"/>
          <w:b w:val="false"/>
          <w:i w:val="false"/>
          <w:color w:val="000000"/>
          <w:sz w:val="28"/>
        </w:rPr>
        <w:t>
      8. Из суммарного прогнозного объема текущих затрат бюджетов областей, городов республиканского значения, столицы исключаются средства на выплату экологических надбавок, оказание материальной помощи и на дополнительные отпуска работникам государственных учреждений и казенных предприятий, в соответствии с законодательством Республики Казахстан, и добавляются абсолютными суммами после расчета прогнозных объемов текущих затрат по бюджетам областей, городов республиканского значения, столицы.</w:t>
      </w:r>
    </w:p>
    <w:bookmarkEnd w:id="35"/>
    <w:bookmarkStart w:name="z43" w:id="36"/>
    <w:p>
      <w:pPr>
        <w:spacing w:after="0"/>
        <w:ind w:left="0"/>
        <w:jc w:val="both"/>
      </w:pPr>
      <w:r>
        <w:rPr>
          <w:rFonts w:ascii="Times New Roman"/>
          <w:b w:val="false"/>
          <w:i w:val="false"/>
          <w:color w:val="000000"/>
          <w:sz w:val="28"/>
        </w:rPr>
        <w:t>
      9. За расчетную базу прогнозирования объема текущих затрат бюджетов областей, городов республиканского значения, столицы принимаются объемы текущих затрат в соответствии с уточненным планом года, предшествующего планируемому периоду.</w:t>
      </w:r>
    </w:p>
    <w:bookmarkEnd w:id="36"/>
    <w:bookmarkStart w:name="z44" w:id="37"/>
    <w:p>
      <w:pPr>
        <w:spacing w:after="0"/>
        <w:ind w:left="0"/>
        <w:jc w:val="both"/>
      </w:pPr>
      <w:r>
        <w:rPr>
          <w:rFonts w:ascii="Times New Roman"/>
          <w:b w:val="false"/>
          <w:i w:val="false"/>
          <w:color w:val="000000"/>
          <w:sz w:val="28"/>
        </w:rPr>
        <w:t>
      10. Расчет прогнозного объема текущих затрат бюджетов областей, городов республиканского значения, столицы производится в разрезе функциональных подгрупп осуществляемых государственных функций с учетом показателей и коэффициентов, приведенных в перечне функциональных подгрупп, осуществляемых государственных функций, показателей и коэффициентов к ним согласно приложению к настоящей Методике.</w:t>
      </w:r>
    </w:p>
    <w:bookmarkEnd w:id="37"/>
    <w:bookmarkStart w:name="z45" w:id="38"/>
    <w:p>
      <w:pPr>
        <w:spacing w:after="0"/>
        <w:ind w:left="0"/>
        <w:jc w:val="both"/>
      </w:pPr>
      <w:r>
        <w:rPr>
          <w:rFonts w:ascii="Times New Roman"/>
          <w:b w:val="false"/>
          <w:i w:val="false"/>
          <w:color w:val="000000"/>
          <w:sz w:val="28"/>
        </w:rPr>
        <w:t>
      11. Расчет текущих затрат отдельной области (города республиканского значения, столицы) по отдельной функциональной подгруппе производится по следующей формуле:</w:t>
      </w:r>
    </w:p>
    <w:bookmarkEnd w:id="38"/>
    <w:bookmarkStart w:name="z46" w:id="39"/>
    <w:p>
      <w:pPr>
        <w:spacing w:after="0"/>
        <w:ind w:left="0"/>
        <w:jc w:val="both"/>
      </w:pPr>
      <w:r>
        <w:rPr>
          <w:rFonts w:ascii="Times New Roman"/>
          <w:b w:val="false"/>
          <w:i w:val="false"/>
          <w:color w:val="000000"/>
          <w:sz w:val="28"/>
        </w:rPr>
        <w:t xml:space="preserve">
      </w:t>
      </w:r>
    </w:p>
    <w:bookmarkEnd w:id="39"/>
    <w:p>
      <w:pPr>
        <w:spacing w:after="0"/>
        <w:ind w:left="0"/>
        <w:jc w:val="both"/>
      </w:pPr>
      <w:r>
        <w:drawing>
          <wp:inline distT="0" distB="0" distL="0" distR="0">
            <wp:extent cx="2501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5019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47" w:id="40"/>
    <w:p>
      <w:pPr>
        <w:spacing w:after="0"/>
        <w:ind w:left="0"/>
        <w:jc w:val="both"/>
      </w:pPr>
      <w:r>
        <w:rPr>
          <w:rFonts w:ascii="Times New Roman"/>
          <w:b w:val="false"/>
          <w:i w:val="false"/>
          <w:color w:val="000000"/>
          <w:sz w:val="28"/>
        </w:rPr>
        <w:t>
      где:</w:t>
      </w:r>
    </w:p>
    <w:bookmarkEnd w:id="40"/>
    <w:bookmarkStart w:name="z48" w:id="41"/>
    <w:p>
      <w:pPr>
        <w:spacing w:after="0"/>
        <w:ind w:left="0"/>
        <w:jc w:val="both"/>
      </w:pPr>
      <w:r>
        <w:rPr>
          <w:rFonts w:ascii="Times New Roman"/>
          <w:b w:val="false"/>
          <w:i w:val="false"/>
          <w:color w:val="000000"/>
          <w:sz w:val="28"/>
        </w:rPr>
        <w:t xml:space="preserve">
      </w:t>
      </w:r>
    </w:p>
    <w:bookmarkEnd w:id="41"/>
    <w:p>
      <w:pPr>
        <w:spacing w:after="0"/>
        <w:ind w:left="0"/>
        <w:jc w:val="both"/>
      </w:pPr>
      <w:r>
        <w:drawing>
          <wp:inline distT="0" distB="0" distL="0" distR="0">
            <wp:extent cx="355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5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расчетные текущие затраты i-й области (города республиканского значения, столицы) по j-й функциональной подгруппе;</w:t>
      </w:r>
      <w:r>
        <w:br/>
      </w:r>
      <w:r>
        <w:rPr>
          <w:rFonts w:ascii="Times New Roman"/>
          <w:b w:val="false"/>
          <w:i w:val="false"/>
          <w:color w:val="000000"/>
          <w:sz w:val="28"/>
        </w:rPr>
        <w:t>
</w:t>
      </w:r>
    </w:p>
    <w:bookmarkStart w:name="z49" w:id="42"/>
    <w:p>
      <w:pPr>
        <w:spacing w:after="0"/>
        <w:ind w:left="0"/>
        <w:jc w:val="both"/>
      </w:pPr>
      <w:r>
        <w:rPr>
          <w:rFonts w:ascii="Times New Roman"/>
          <w:b w:val="false"/>
          <w:i w:val="false"/>
          <w:color w:val="000000"/>
          <w:sz w:val="28"/>
        </w:rPr>
        <w:t>
      Зj – суммарный прогнозный объем текущих затрат по местным бюджетам всех областей, городов республиканского значения, столицы по j-й функциональной подгруппе;</w:t>
      </w:r>
    </w:p>
    <w:bookmarkEnd w:id="42"/>
    <w:bookmarkStart w:name="z50"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3048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количество потребителей государственных услуг i-й области (города республиканского значения, столицы) по j-й функциональной подгруппе;</w:t>
      </w:r>
      <w:r>
        <w:br/>
      </w:r>
      <w:r>
        <w:rPr>
          <w:rFonts w:ascii="Times New Roman"/>
          <w:b w:val="false"/>
          <w:i w:val="false"/>
          <w:color w:val="000000"/>
          <w:sz w:val="28"/>
        </w:rPr>
        <w:t>
</w:t>
      </w:r>
    </w:p>
    <w:bookmarkStart w:name="z51"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9779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977900" cy="330200"/>
                    </a:xfrm>
                    <a:prstGeom prst="rect">
                      <a:avLst/>
                    </a:prstGeom>
                  </pic:spPr>
                </pic:pic>
              </a:graphicData>
            </a:graphic>
          </wp:inline>
        </w:drawing>
      </w:r>
    </w:p>
    <w:p>
      <w:pPr>
        <w:spacing w:after="0"/>
        <w:ind w:left="0"/>
        <w:jc w:val="left"/>
      </w:pPr>
      <w:r>
        <w:rPr>
          <w:rFonts w:ascii="Times New Roman"/>
          <w:b w:val="false"/>
          <w:i w:val="false"/>
          <w:color w:val="000000"/>
          <w:sz w:val="28"/>
        </w:rPr>
        <w:t>– коэффициенты, учитывающие объективные факторы, которые обусловливают отличия в стоимости предоставления государственных услуг в i-й области (городе республиканского значения, столице) по j-й функциональной подгруппе от среднереспубликанского уровня.</w:t>
      </w:r>
      <w:r>
        <w:br/>
      </w:r>
      <w:r>
        <w:rPr>
          <w:rFonts w:ascii="Times New Roman"/>
          <w:b w:val="false"/>
          <w:i w:val="false"/>
          <w:color w:val="000000"/>
          <w:sz w:val="28"/>
        </w:rPr>
        <w:t>
</w:t>
      </w:r>
    </w:p>
    <w:bookmarkStart w:name="z52" w:id="45"/>
    <w:p>
      <w:pPr>
        <w:spacing w:after="0"/>
        <w:ind w:left="0"/>
        <w:jc w:val="both"/>
      </w:pPr>
      <w:r>
        <w:rPr>
          <w:rFonts w:ascii="Times New Roman"/>
          <w:b w:val="false"/>
          <w:i w:val="false"/>
          <w:color w:val="000000"/>
          <w:sz w:val="28"/>
        </w:rPr>
        <w:t>
      12. При расчете прогнозного объема текущих затрат применяются следующие коэффициенты, отражающие объективные факторы, которые обусловливают различия в стоимости предоставления государственных услуг:</w:t>
      </w:r>
    </w:p>
    <w:bookmarkEnd w:id="45"/>
    <w:bookmarkStart w:name="z53" w:id="46"/>
    <w:p>
      <w:pPr>
        <w:spacing w:after="0"/>
        <w:ind w:left="0"/>
        <w:jc w:val="both"/>
      </w:pPr>
      <w:r>
        <w:rPr>
          <w:rFonts w:ascii="Times New Roman"/>
          <w:b w:val="false"/>
          <w:i w:val="false"/>
          <w:color w:val="000000"/>
          <w:sz w:val="28"/>
        </w:rPr>
        <w:t>
      1) коэффициент урбанизации:</w:t>
      </w:r>
    </w:p>
    <w:bookmarkEnd w:id="46"/>
    <w:bookmarkStart w:name="z54"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1524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5240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8"/>
    <w:p>
      <w:pPr>
        <w:spacing w:after="0"/>
        <w:ind w:left="0"/>
        <w:jc w:val="both"/>
      </w:pPr>
      <w:r>
        <w:rPr>
          <w:rFonts w:ascii="Times New Roman"/>
          <w:b w:val="false"/>
          <w:i w:val="false"/>
          <w:color w:val="000000"/>
          <w:sz w:val="28"/>
        </w:rPr>
        <w:t>
      где:</w:t>
      </w:r>
    </w:p>
    <w:bookmarkEnd w:id="48"/>
    <w:bookmarkStart w:name="z56" w:id="49"/>
    <w:p>
      <w:pPr>
        <w:spacing w:after="0"/>
        <w:ind w:left="0"/>
        <w:jc w:val="both"/>
      </w:pPr>
      <w:r>
        <w:rPr>
          <w:rFonts w:ascii="Times New Roman"/>
          <w:b w:val="false"/>
          <w:i w:val="false"/>
          <w:color w:val="000000"/>
          <w:sz w:val="28"/>
        </w:rPr>
        <w:t xml:space="preserve">
      </w:t>
      </w:r>
    </w:p>
    <w:bookmarkEnd w:id="49"/>
    <w:p>
      <w:pPr>
        <w:spacing w:after="0"/>
        <w:ind w:left="0"/>
        <w:jc w:val="both"/>
      </w:pPr>
      <w:r>
        <w:drawing>
          <wp:inline distT="0" distB="0" distL="0" distR="0">
            <wp:extent cx="7112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112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численность городского населения i-й области по данным Комитета по статистике Министерства национальной экономики Республики Казахстан;</w:t>
      </w:r>
      <w:r>
        <w:br/>
      </w:r>
      <w:r>
        <w:rPr>
          <w:rFonts w:ascii="Times New Roman"/>
          <w:b w:val="false"/>
          <w:i w:val="false"/>
          <w:color w:val="000000"/>
          <w:sz w:val="28"/>
        </w:rPr>
        <w:t>
</w:t>
      </w:r>
    </w:p>
    <w:bookmarkStart w:name="z57" w:id="50"/>
    <w:p>
      <w:pPr>
        <w:spacing w:after="0"/>
        <w:ind w:left="0"/>
        <w:jc w:val="both"/>
      </w:pPr>
      <w:r>
        <w:rPr>
          <w:rFonts w:ascii="Times New Roman"/>
          <w:b w:val="false"/>
          <w:i w:val="false"/>
          <w:color w:val="000000"/>
          <w:sz w:val="28"/>
        </w:rPr>
        <w:t xml:space="preserve">
      </w:t>
      </w:r>
    </w:p>
    <w:bookmarkEnd w:id="50"/>
    <w:p>
      <w:pPr>
        <w:spacing w:after="0"/>
        <w:ind w:left="0"/>
        <w:jc w:val="both"/>
      </w:pPr>
      <w:r>
        <w:drawing>
          <wp:inline distT="0" distB="0" distL="0" distR="0">
            <wp:extent cx="469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699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численность населения в i-й области (городе республиканского значения, столице) по данным Комитета по статистике Министерства национальной экономики Республики Казахстан.</w:t>
      </w:r>
      <w:r>
        <w:br/>
      </w:r>
      <w:r>
        <w:rPr>
          <w:rFonts w:ascii="Times New Roman"/>
          <w:b w:val="false"/>
          <w:i w:val="false"/>
          <w:color w:val="000000"/>
          <w:sz w:val="28"/>
        </w:rPr>
        <w:t>
</w:t>
      </w:r>
    </w:p>
    <w:bookmarkStart w:name="z58" w:id="51"/>
    <w:p>
      <w:pPr>
        <w:spacing w:after="0"/>
        <w:ind w:left="0"/>
        <w:jc w:val="both"/>
      </w:pPr>
      <w:r>
        <w:rPr>
          <w:rFonts w:ascii="Times New Roman"/>
          <w:b w:val="false"/>
          <w:i w:val="false"/>
          <w:color w:val="000000"/>
          <w:sz w:val="28"/>
        </w:rPr>
        <w:t>
      Коэффициент урбанизации учитывает более высокий относительно среднереспубликанского уровень затрат, связанных с предоставлением государственных услуг в городской местности по отдельным функциональным подгруппам;</w:t>
      </w:r>
    </w:p>
    <w:bookmarkEnd w:id="51"/>
    <w:bookmarkStart w:name="z59" w:id="52"/>
    <w:p>
      <w:pPr>
        <w:spacing w:after="0"/>
        <w:ind w:left="0"/>
        <w:jc w:val="both"/>
      </w:pPr>
      <w:r>
        <w:rPr>
          <w:rFonts w:ascii="Times New Roman"/>
          <w:b w:val="false"/>
          <w:i w:val="false"/>
          <w:color w:val="000000"/>
          <w:sz w:val="28"/>
        </w:rPr>
        <w:t>
      2) коэффициент дисперсности расселения:</w:t>
      </w:r>
    </w:p>
    <w:bookmarkEnd w:id="52"/>
    <w:bookmarkStart w:name="z60"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16637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637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1" w:id="54"/>
    <w:p>
      <w:pPr>
        <w:spacing w:after="0"/>
        <w:ind w:left="0"/>
        <w:jc w:val="both"/>
      </w:pPr>
      <w:r>
        <w:rPr>
          <w:rFonts w:ascii="Times New Roman"/>
          <w:b w:val="false"/>
          <w:i w:val="false"/>
          <w:color w:val="000000"/>
          <w:sz w:val="28"/>
        </w:rPr>
        <w:t>
      где:</w:t>
      </w:r>
    </w:p>
    <w:bookmarkEnd w:id="54"/>
    <w:bookmarkStart w:name="z62" w:id="55"/>
    <w:p>
      <w:pPr>
        <w:spacing w:after="0"/>
        <w:ind w:left="0"/>
        <w:jc w:val="both"/>
      </w:pPr>
      <w:r>
        <w:rPr>
          <w:rFonts w:ascii="Times New Roman"/>
          <w:b w:val="false"/>
          <w:i w:val="false"/>
          <w:color w:val="000000"/>
          <w:sz w:val="28"/>
        </w:rPr>
        <w:t xml:space="preserve">
      </w:t>
      </w:r>
    </w:p>
    <w:bookmarkEnd w:id="55"/>
    <w:p>
      <w:pPr>
        <w:spacing w:after="0"/>
        <w:ind w:left="0"/>
        <w:jc w:val="both"/>
      </w:pPr>
      <w:r>
        <w:drawing>
          <wp:inline distT="0" distB="0" distL="0" distR="0">
            <wp:extent cx="6604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604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численность населения i-й области, проживающего в населенных пунктах с численностью населения менее 500 человек по данным Комитета по статистике Министерства национальной экономики Республики Казахстан;</w:t>
      </w:r>
      <w:r>
        <w:br/>
      </w:r>
      <w:r>
        <w:rPr>
          <w:rFonts w:ascii="Times New Roman"/>
          <w:b w:val="false"/>
          <w:i w:val="false"/>
          <w:color w:val="000000"/>
          <w:sz w:val="28"/>
        </w:rPr>
        <w:t>
</w:t>
      </w:r>
    </w:p>
    <w:bookmarkStart w:name="z63"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469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4699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общая численность населения в i-й области по данным Комитета по статистике Министерства национальной экономики Республики Казахстан.</w:t>
      </w:r>
      <w:r>
        <w:br/>
      </w:r>
      <w:r>
        <w:rPr>
          <w:rFonts w:ascii="Times New Roman"/>
          <w:b w:val="false"/>
          <w:i w:val="false"/>
          <w:color w:val="000000"/>
          <w:sz w:val="28"/>
        </w:rPr>
        <w:t>
</w:t>
      </w:r>
    </w:p>
    <w:bookmarkStart w:name="z64" w:id="57"/>
    <w:p>
      <w:pPr>
        <w:spacing w:after="0"/>
        <w:ind w:left="0"/>
        <w:jc w:val="both"/>
      </w:pPr>
      <w:r>
        <w:rPr>
          <w:rFonts w:ascii="Times New Roman"/>
          <w:b w:val="false"/>
          <w:i w:val="false"/>
          <w:color w:val="000000"/>
          <w:sz w:val="28"/>
        </w:rPr>
        <w:t>
      Коэффициент дисперсности расселения учитывает более высокий по сравнению со среднереспубликанским уровень затрат, обусловленный необходимостью обеспечения определенным набором государственных услуг населению независимо от размеров населенного пункта, в том числе учитывая дополнительные транспортные и иные расходы;</w:t>
      </w:r>
    </w:p>
    <w:bookmarkEnd w:id="57"/>
    <w:bookmarkStart w:name="z65" w:id="58"/>
    <w:p>
      <w:pPr>
        <w:spacing w:after="0"/>
        <w:ind w:left="0"/>
        <w:jc w:val="both"/>
      </w:pPr>
      <w:r>
        <w:rPr>
          <w:rFonts w:ascii="Times New Roman"/>
          <w:b w:val="false"/>
          <w:i w:val="false"/>
          <w:color w:val="000000"/>
          <w:sz w:val="28"/>
        </w:rPr>
        <w:t>
      3) коэффициент масштаба:</w:t>
      </w:r>
    </w:p>
    <w:bookmarkEnd w:id="58"/>
    <w:bookmarkStart w:name="z66" w:id="59"/>
    <w:p>
      <w:pPr>
        <w:spacing w:after="0"/>
        <w:ind w:left="0"/>
        <w:jc w:val="both"/>
      </w:pPr>
      <w:r>
        <w:rPr>
          <w:rFonts w:ascii="Times New Roman"/>
          <w:b w:val="false"/>
          <w:i w:val="false"/>
          <w:color w:val="000000"/>
          <w:sz w:val="28"/>
        </w:rPr>
        <w:t xml:space="preserve">
      </w:t>
      </w:r>
    </w:p>
    <w:bookmarkEnd w:id="59"/>
    <w:p>
      <w:pPr>
        <w:spacing w:after="0"/>
        <w:ind w:left="0"/>
        <w:jc w:val="both"/>
      </w:pPr>
      <w:r>
        <w:drawing>
          <wp:inline distT="0" distB="0" distL="0" distR="0">
            <wp:extent cx="23368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336800" cy="62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7" w:id="60"/>
    <w:p>
      <w:pPr>
        <w:spacing w:after="0"/>
        <w:ind w:left="0"/>
        <w:jc w:val="both"/>
      </w:pPr>
      <w:r>
        <w:rPr>
          <w:rFonts w:ascii="Times New Roman"/>
          <w:b w:val="false"/>
          <w:i w:val="false"/>
          <w:color w:val="000000"/>
          <w:sz w:val="28"/>
        </w:rPr>
        <w:t>
      где:</w:t>
      </w:r>
    </w:p>
    <w:bookmarkEnd w:id="60"/>
    <w:bookmarkStart w:name="z68"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241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41300" cy="406400"/>
                    </a:xfrm>
                    <a:prstGeom prst="rect">
                      <a:avLst/>
                    </a:prstGeom>
                  </pic:spPr>
                </pic:pic>
              </a:graphicData>
            </a:graphic>
          </wp:inline>
        </w:drawing>
      </w:r>
    </w:p>
    <w:p>
      <w:pPr>
        <w:spacing w:after="0"/>
        <w:ind w:left="0"/>
        <w:jc w:val="left"/>
      </w:pPr>
      <w:r>
        <w:rPr>
          <w:rFonts w:ascii="Times New Roman"/>
          <w:b w:val="false"/>
          <w:i w:val="false"/>
          <w:color w:val="000000"/>
          <w:sz w:val="28"/>
        </w:rPr>
        <w:t>– вес, с которым учитывается отклонение численности населения областей, городов республиканского значения, столицы от среднереспубликанского уровня;</w:t>
      </w:r>
      <w:r>
        <w:br/>
      </w:r>
      <w:r>
        <w:rPr>
          <w:rFonts w:ascii="Times New Roman"/>
          <w:b w:val="false"/>
          <w:i w:val="false"/>
          <w:color w:val="000000"/>
          <w:sz w:val="28"/>
        </w:rPr>
        <w:t>
</w:t>
      </w:r>
    </w:p>
    <w:bookmarkStart w:name="z69"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393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93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средняя численность населения одного региона по Республике Казахстан;</w:t>
      </w:r>
      <w:r>
        <w:br/>
      </w:r>
      <w:r>
        <w:rPr>
          <w:rFonts w:ascii="Times New Roman"/>
          <w:b w:val="false"/>
          <w:i w:val="false"/>
          <w:color w:val="000000"/>
          <w:sz w:val="28"/>
        </w:rPr>
        <w:t>
</w:t>
      </w:r>
    </w:p>
    <w:bookmarkStart w:name="z70" w:id="63"/>
    <w:p>
      <w:pPr>
        <w:spacing w:after="0"/>
        <w:ind w:left="0"/>
        <w:jc w:val="both"/>
      </w:pPr>
      <w:r>
        <w:rPr>
          <w:rFonts w:ascii="Times New Roman"/>
          <w:b w:val="false"/>
          <w:i w:val="false"/>
          <w:color w:val="000000"/>
          <w:sz w:val="28"/>
        </w:rPr>
        <w:t xml:space="preserve">
      </w:t>
      </w:r>
    </w:p>
    <w:bookmarkEnd w:id="63"/>
    <w:p>
      <w:pPr>
        <w:spacing w:after="0"/>
        <w:ind w:left="0"/>
        <w:jc w:val="both"/>
      </w:pPr>
      <w:r>
        <w:drawing>
          <wp:inline distT="0" distB="0" distL="0" distR="0">
            <wp:extent cx="469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699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численность населения в i-й области (городе республиканского значения, столицы) по данным Комитета по статистике Министерства национальной экономики Республики Казахстан.</w:t>
      </w:r>
      <w:r>
        <w:br/>
      </w:r>
      <w:r>
        <w:rPr>
          <w:rFonts w:ascii="Times New Roman"/>
          <w:b w:val="false"/>
          <w:i w:val="false"/>
          <w:color w:val="000000"/>
          <w:sz w:val="28"/>
        </w:rPr>
        <w:t>
</w:t>
      </w:r>
    </w:p>
    <w:bookmarkStart w:name="z71" w:id="64"/>
    <w:p>
      <w:pPr>
        <w:spacing w:after="0"/>
        <w:ind w:left="0"/>
        <w:jc w:val="both"/>
      </w:pPr>
      <w:r>
        <w:rPr>
          <w:rFonts w:ascii="Times New Roman"/>
          <w:b w:val="false"/>
          <w:i w:val="false"/>
          <w:color w:val="000000"/>
          <w:sz w:val="28"/>
        </w:rPr>
        <w:t>
      Коэффициент масштаба учитывает эффект масштаба, отражающий снижение объема затрат на предоставление государственных услуг в расчете на одного потребителя с ростом численности потребителей;</w:t>
      </w:r>
    </w:p>
    <w:bookmarkEnd w:id="64"/>
    <w:bookmarkStart w:name="z72" w:id="65"/>
    <w:p>
      <w:pPr>
        <w:spacing w:after="0"/>
        <w:ind w:left="0"/>
        <w:jc w:val="both"/>
      </w:pPr>
      <w:r>
        <w:rPr>
          <w:rFonts w:ascii="Times New Roman"/>
          <w:b w:val="false"/>
          <w:i w:val="false"/>
          <w:color w:val="000000"/>
          <w:sz w:val="28"/>
        </w:rPr>
        <w:t>
      4) коэффициент возрастной структуры населения:</w:t>
      </w:r>
    </w:p>
    <w:bookmarkEnd w:id="65"/>
    <w:bookmarkStart w:name="z73"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18542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8542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67"/>
    <w:p>
      <w:pPr>
        <w:spacing w:after="0"/>
        <w:ind w:left="0"/>
        <w:jc w:val="both"/>
      </w:pPr>
      <w:r>
        <w:rPr>
          <w:rFonts w:ascii="Times New Roman"/>
          <w:b w:val="false"/>
          <w:i w:val="false"/>
          <w:color w:val="000000"/>
          <w:sz w:val="28"/>
        </w:rPr>
        <w:t>
      где:</w:t>
      </w:r>
    </w:p>
    <w:bookmarkEnd w:id="67"/>
    <w:bookmarkStart w:name="z75"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8001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8001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численность населения i-й области (города республиканского значения, столицы) по определенной возрастной группе по данным Комитета по статистике Министерства национальной экономики Республики Казахстан;</w:t>
      </w:r>
      <w:r>
        <w:br/>
      </w:r>
      <w:r>
        <w:rPr>
          <w:rFonts w:ascii="Times New Roman"/>
          <w:b w:val="false"/>
          <w:i w:val="false"/>
          <w:color w:val="000000"/>
          <w:sz w:val="28"/>
        </w:rPr>
        <w:t>
</w:t>
      </w:r>
    </w:p>
    <w:bookmarkStart w:name="z76" w:id="69"/>
    <w:p>
      <w:pPr>
        <w:spacing w:after="0"/>
        <w:ind w:left="0"/>
        <w:jc w:val="both"/>
      </w:pPr>
      <w:r>
        <w:rPr>
          <w:rFonts w:ascii="Times New Roman"/>
          <w:b w:val="false"/>
          <w:i w:val="false"/>
          <w:color w:val="000000"/>
          <w:sz w:val="28"/>
        </w:rPr>
        <w:t xml:space="preserve">
      </w:t>
      </w:r>
    </w:p>
    <w:bookmarkEnd w:id="69"/>
    <w:p>
      <w:pPr>
        <w:spacing w:after="0"/>
        <w:ind w:left="0"/>
        <w:jc w:val="both"/>
      </w:pPr>
      <w:r>
        <w:drawing>
          <wp:inline distT="0" distB="0" distL="0" distR="0">
            <wp:extent cx="4699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69900" cy="2286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численность населения в i-й области (городе республиканского значения, столице) по данным Комитета по статистике Министерства национальной экономики Республики Казахстан.</w:t>
      </w:r>
      <w:r>
        <w:br/>
      </w:r>
      <w:r>
        <w:rPr>
          <w:rFonts w:ascii="Times New Roman"/>
          <w:b w:val="false"/>
          <w:i w:val="false"/>
          <w:color w:val="000000"/>
          <w:sz w:val="28"/>
        </w:rPr>
        <w:t>
</w:t>
      </w:r>
    </w:p>
    <w:bookmarkStart w:name="z77" w:id="70"/>
    <w:p>
      <w:pPr>
        <w:spacing w:after="0"/>
        <w:ind w:left="0"/>
        <w:jc w:val="both"/>
      </w:pPr>
      <w:r>
        <w:rPr>
          <w:rFonts w:ascii="Times New Roman"/>
          <w:b w:val="false"/>
          <w:i w:val="false"/>
          <w:color w:val="000000"/>
          <w:sz w:val="28"/>
        </w:rPr>
        <w:t>
      Коэффициент возрастной структуры населения учитывает повышенный спрос, предъявляемый отдельными категориями населения на государственные услуги, связанные со здравоохранением и образованием;</w:t>
      </w:r>
    </w:p>
    <w:bookmarkEnd w:id="70"/>
    <w:bookmarkStart w:name="z78" w:id="71"/>
    <w:p>
      <w:pPr>
        <w:spacing w:after="0"/>
        <w:ind w:left="0"/>
        <w:jc w:val="both"/>
      </w:pPr>
      <w:r>
        <w:rPr>
          <w:rFonts w:ascii="Times New Roman"/>
          <w:b w:val="false"/>
          <w:i w:val="false"/>
          <w:color w:val="000000"/>
          <w:sz w:val="28"/>
        </w:rPr>
        <w:t>
      5) коэффициент учета надбавок за работу в сельской местности:</w:t>
      </w:r>
    </w:p>
    <w:bookmarkEnd w:id="71"/>
    <w:bookmarkStart w:name="z79"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25400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25400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3"/>
    <w:p>
      <w:pPr>
        <w:spacing w:after="0"/>
        <w:ind w:left="0"/>
        <w:jc w:val="both"/>
      </w:pPr>
      <w:r>
        <w:rPr>
          <w:rFonts w:ascii="Times New Roman"/>
          <w:b w:val="false"/>
          <w:i w:val="false"/>
          <w:color w:val="000000"/>
          <w:sz w:val="28"/>
        </w:rPr>
        <w:t>
      где:</w:t>
      </w:r>
    </w:p>
    <w:bookmarkEnd w:id="73"/>
    <w:bookmarkStart w:name="z81"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7366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366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численность сельского населения i-й области по данным Комитета по статистике Министерства национальной экономики Республики Казахстан;</w:t>
      </w:r>
      <w:r>
        <w:br/>
      </w:r>
      <w:r>
        <w:rPr>
          <w:rFonts w:ascii="Times New Roman"/>
          <w:b w:val="false"/>
          <w:i w:val="false"/>
          <w:color w:val="000000"/>
          <w:sz w:val="28"/>
        </w:rPr>
        <w:t>
</w:t>
      </w:r>
    </w:p>
    <w:bookmarkStart w:name="z82"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доля заработной платы в общем объеме текущих затрат по j-й функциональной подгруппе (в сумме по всем регионам).</w:t>
      </w:r>
      <w:r>
        <w:br/>
      </w:r>
      <w:r>
        <w:rPr>
          <w:rFonts w:ascii="Times New Roman"/>
          <w:b w:val="false"/>
          <w:i w:val="false"/>
          <w:color w:val="000000"/>
          <w:sz w:val="28"/>
        </w:rPr>
        <w:t>
</w:t>
      </w:r>
    </w:p>
    <w:bookmarkStart w:name="z83" w:id="76"/>
    <w:p>
      <w:pPr>
        <w:spacing w:after="0"/>
        <w:ind w:left="0"/>
        <w:jc w:val="both"/>
      </w:pPr>
      <w:r>
        <w:rPr>
          <w:rFonts w:ascii="Times New Roman"/>
          <w:b w:val="false"/>
          <w:i w:val="false"/>
          <w:color w:val="000000"/>
          <w:sz w:val="28"/>
        </w:rPr>
        <w:t>
      Коэффициент учета надбавок за работу в сельской местности учитывает потребность в дополнительных расходах на заработную плату в сельской местности по отдельным функциональным подгруппам;</w:t>
      </w:r>
    </w:p>
    <w:bookmarkEnd w:id="76"/>
    <w:bookmarkStart w:name="z84" w:id="77"/>
    <w:p>
      <w:pPr>
        <w:spacing w:after="0"/>
        <w:ind w:left="0"/>
        <w:jc w:val="both"/>
      </w:pPr>
      <w:r>
        <w:rPr>
          <w:rFonts w:ascii="Times New Roman"/>
          <w:b w:val="false"/>
          <w:i w:val="false"/>
          <w:color w:val="000000"/>
          <w:sz w:val="28"/>
        </w:rPr>
        <w:t>
      6) коэффициент плотности:</w:t>
      </w:r>
    </w:p>
    <w:bookmarkEnd w:id="77"/>
    <w:bookmarkStart w:name="z85"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14478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4478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9"/>
    <w:p>
      <w:pPr>
        <w:spacing w:after="0"/>
        <w:ind w:left="0"/>
        <w:jc w:val="both"/>
      </w:pPr>
      <w:r>
        <w:rPr>
          <w:rFonts w:ascii="Times New Roman"/>
          <w:b w:val="false"/>
          <w:i w:val="false"/>
          <w:color w:val="000000"/>
          <w:sz w:val="28"/>
        </w:rPr>
        <w:t>
      где:</w:t>
      </w:r>
    </w:p>
    <w:bookmarkEnd w:id="79"/>
    <w:bookmarkStart w:name="z87" w:id="80"/>
    <w:p>
      <w:pPr>
        <w:spacing w:after="0"/>
        <w:ind w:left="0"/>
        <w:jc w:val="both"/>
      </w:pPr>
      <w:r>
        <w:rPr>
          <w:rFonts w:ascii="Times New Roman"/>
          <w:b w:val="false"/>
          <w:i w:val="false"/>
          <w:color w:val="000000"/>
          <w:sz w:val="28"/>
        </w:rPr>
        <w:t xml:space="preserve">
      </w:t>
      </w:r>
    </w:p>
    <w:bookmarkEnd w:id="80"/>
    <w:p>
      <w:pPr>
        <w:spacing w:after="0"/>
        <w:ind w:left="0"/>
        <w:jc w:val="both"/>
      </w:pPr>
      <w:r>
        <w:drawing>
          <wp:inline distT="0" distB="0" distL="0" distR="0">
            <wp:extent cx="2286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228600" cy="254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плотность населения в среднем по Республике Казахстан;</w:t>
      </w:r>
      <w:r>
        <w:br/>
      </w:r>
      <w:r>
        <w:rPr>
          <w:rFonts w:ascii="Times New Roman"/>
          <w:b w:val="false"/>
          <w:i w:val="false"/>
          <w:color w:val="000000"/>
          <w:sz w:val="28"/>
        </w:rPr>
        <w:t>
</w:t>
      </w:r>
    </w:p>
    <w:bookmarkStart w:name="z88" w:id="81"/>
    <w:p>
      <w:pPr>
        <w:spacing w:after="0"/>
        <w:ind w:left="0"/>
        <w:jc w:val="both"/>
      </w:pPr>
      <w:r>
        <w:rPr>
          <w:rFonts w:ascii="Times New Roman"/>
          <w:b w:val="false"/>
          <w:i w:val="false"/>
          <w:color w:val="000000"/>
          <w:sz w:val="28"/>
        </w:rPr>
        <w:t>
      р</w:t>
      </w:r>
      <w:r>
        <w:rPr>
          <w:rFonts w:ascii="Times New Roman"/>
          <w:b w:val="false"/>
          <w:i w:val="false"/>
          <w:color w:val="000000"/>
          <w:vertAlign w:val="superscript"/>
        </w:rPr>
        <w:t>i</w:t>
      </w:r>
      <w:r>
        <w:rPr>
          <w:rFonts w:ascii="Times New Roman"/>
          <w:b w:val="false"/>
          <w:i w:val="false"/>
          <w:color w:val="000000"/>
          <w:sz w:val="28"/>
        </w:rPr>
        <w:t xml:space="preserve"> – плотность населения в i-й области (городе республиканского значения, столице);</w:t>
      </w:r>
    </w:p>
    <w:bookmarkEnd w:id="81"/>
    <w:bookmarkStart w:name="z89" w:id="82"/>
    <w:p>
      <w:pPr>
        <w:spacing w:after="0"/>
        <w:ind w:left="0"/>
        <w:jc w:val="both"/>
      </w:pPr>
      <w:r>
        <w:rPr>
          <w:rFonts w:ascii="Times New Roman"/>
          <w:b w:val="false"/>
          <w:i w:val="false"/>
          <w:color w:val="000000"/>
          <w:sz w:val="28"/>
        </w:rPr>
        <w:t xml:space="preserve">
      </w:t>
      </w:r>
    </w:p>
    <w:bookmarkEnd w:id="82"/>
    <w:p>
      <w:pPr>
        <w:spacing w:after="0"/>
        <w:ind w:left="0"/>
        <w:jc w:val="both"/>
      </w:pPr>
      <w:r>
        <w:drawing>
          <wp:inline distT="0" distB="0" distL="0" distR="0">
            <wp:extent cx="2032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203200" cy="304800"/>
                    </a:xfrm>
                    <a:prstGeom prst="rect">
                      <a:avLst/>
                    </a:prstGeom>
                  </pic:spPr>
                </pic:pic>
              </a:graphicData>
            </a:graphic>
          </wp:inline>
        </w:drawing>
      </w:r>
    </w:p>
    <w:p>
      <w:pPr>
        <w:spacing w:after="0"/>
        <w:ind w:left="0"/>
        <w:jc w:val="left"/>
      </w:pPr>
      <w:r>
        <w:rPr>
          <w:rFonts w:ascii="Times New Roman"/>
          <w:b w:val="false"/>
          <w:i w:val="false"/>
          <w:color w:val="000000"/>
          <w:sz w:val="28"/>
        </w:rPr>
        <w:t>– вес, с которым учитывается отклонение плотности населения областей, городов республиканского значения, столицы от среднереспубликанского уровня.</w:t>
      </w:r>
      <w:r>
        <w:br/>
      </w:r>
      <w:r>
        <w:rPr>
          <w:rFonts w:ascii="Times New Roman"/>
          <w:b w:val="false"/>
          <w:i w:val="false"/>
          <w:color w:val="000000"/>
          <w:sz w:val="28"/>
        </w:rPr>
        <w:t>
</w:t>
      </w:r>
    </w:p>
    <w:bookmarkStart w:name="z90" w:id="83"/>
    <w:p>
      <w:pPr>
        <w:spacing w:after="0"/>
        <w:ind w:left="0"/>
        <w:jc w:val="both"/>
      </w:pPr>
      <w:r>
        <w:rPr>
          <w:rFonts w:ascii="Times New Roman"/>
          <w:b w:val="false"/>
          <w:i w:val="false"/>
          <w:color w:val="000000"/>
          <w:sz w:val="28"/>
        </w:rPr>
        <w:t>
      Коэффициент плотности учитывает увеличение затрат бюджетов областей, городов республиканского значения, столицы в связи с уменьшением плотности населения региона;</w:t>
      </w:r>
    </w:p>
    <w:bookmarkEnd w:id="83"/>
    <w:bookmarkStart w:name="z91" w:id="84"/>
    <w:p>
      <w:pPr>
        <w:spacing w:after="0"/>
        <w:ind w:left="0"/>
        <w:jc w:val="both"/>
      </w:pPr>
      <w:r>
        <w:rPr>
          <w:rFonts w:ascii="Times New Roman"/>
          <w:b w:val="false"/>
          <w:i w:val="false"/>
          <w:color w:val="000000"/>
          <w:sz w:val="28"/>
        </w:rPr>
        <w:t>
      7) коэффициент содержания дорог:</w:t>
      </w:r>
    </w:p>
    <w:bookmarkEnd w:id="84"/>
    <w:bookmarkStart w:name="z92" w:id="85"/>
    <w:p>
      <w:pPr>
        <w:spacing w:after="0"/>
        <w:ind w:left="0"/>
        <w:jc w:val="both"/>
      </w:pPr>
      <w:r>
        <w:rPr>
          <w:rFonts w:ascii="Times New Roman"/>
          <w:b w:val="false"/>
          <w:i w:val="false"/>
          <w:color w:val="000000"/>
          <w:sz w:val="28"/>
        </w:rPr>
        <w:t xml:space="preserve">
      </w:t>
      </w:r>
    </w:p>
    <w:bookmarkEnd w:id="85"/>
    <w:p>
      <w:pPr>
        <w:spacing w:after="0"/>
        <w:ind w:left="0"/>
        <w:jc w:val="both"/>
      </w:pPr>
      <w:r>
        <w:drawing>
          <wp:inline distT="0" distB="0" distL="0" distR="0">
            <wp:extent cx="10922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0922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3" w:id="86"/>
    <w:p>
      <w:pPr>
        <w:spacing w:after="0"/>
        <w:ind w:left="0"/>
        <w:jc w:val="both"/>
      </w:pPr>
      <w:r>
        <w:rPr>
          <w:rFonts w:ascii="Times New Roman"/>
          <w:b w:val="false"/>
          <w:i w:val="false"/>
          <w:color w:val="000000"/>
          <w:sz w:val="28"/>
        </w:rPr>
        <w:t>
      где:</w:t>
      </w:r>
    </w:p>
    <w:bookmarkEnd w:id="86"/>
    <w:bookmarkStart w:name="z94" w:id="87"/>
    <w:p>
      <w:pPr>
        <w:spacing w:after="0"/>
        <w:ind w:left="0"/>
        <w:jc w:val="both"/>
      </w:pPr>
      <w:r>
        <w:rPr>
          <w:rFonts w:ascii="Times New Roman"/>
          <w:b w:val="false"/>
          <w:i w:val="false"/>
          <w:color w:val="000000"/>
          <w:sz w:val="28"/>
        </w:rPr>
        <w:t>
      N</w:t>
      </w:r>
      <w:r>
        <w:rPr>
          <w:rFonts w:ascii="Times New Roman"/>
          <w:b w:val="false"/>
          <w:i w:val="false"/>
          <w:color w:val="000000"/>
          <w:vertAlign w:val="subscript"/>
        </w:rPr>
        <w:t>i</w:t>
      </w:r>
      <w:r>
        <w:rPr>
          <w:rFonts w:ascii="Times New Roman"/>
          <w:b w:val="false"/>
          <w:i w:val="false"/>
          <w:color w:val="000000"/>
          <w:sz w:val="28"/>
        </w:rPr>
        <w:t xml:space="preserve"> – норматив финансирования на содержание автомобильных дорог местного значения i-й области (города республиканского значения, столицы), утверждаемый в соответствии с подпунктом 38) </w:t>
      </w:r>
      <w:r>
        <w:rPr>
          <w:rFonts w:ascii="Times New Roman"/>
          <w:b w:val="false"/>
          <w:i w:val="false"/>
          <w:color w:val="000000"/>
          <w:sz w:val="28"/>
        </w:rPr>
        <w:t>пункта 2</w:t>
      </w:r>
      <w:r>
        <w:rPr>
          <w:rFonts w:ascii="Times New Roman"/>
          <w:b w:val="false"/>
          <w:i w:val="false"/>
          <w:color w:val="000000"/>
          <w:sz w:val="28"/>
        </w:rPr>
        <w:t xml:space="preserve"> статьи 12 Закона Республики Казахстан от 17 июля 2001 года "Об автомобильных дорогах";</w:t>
      </w:r>
    </w:p>
    <w:bookmarkEnd w:id="87"/>
    <w:bookmarkStart w:name="z95" w:id="88"/>
    <w:p>
      <w:pPr>
        <w:spacing w:after="0"/>
        <w:ind w:left="0"/>
        <w:jc w:val="both"/>
      </w:pPr>
      <w:r>
        <w:rPr>
          <w:rFonts w:ascii="Times New Roman"/>
          <w:b w:val="false"/>
          <w:i w:val="false"/>
          <w:color w:val="000000"/>
          <w:sz w:val="28"/>
        </w:rPr>
        <w:t xml:space="preserve">
      </w:t>
      </w:r>
    </w:p>
    <w:bookmarkEnd w:id="88"/>
    <w:p>
      <w:pPr>
        <w:spacing w:after="0"/>
        <w:ind w:left="0"/>
        <w:jc w:val="both"/>
      </w:pPr>
      <w:r>
        <w:drawing>
          <wp:inline distT="0" distB="0" distL="0" distR="0">
            <wp:extent cx="2159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215900" cy="2794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норматив финансирования на содержание автомобильных дорог в среднем по республике;</w:t>
      </w:r>
      <w:r>
        <w:br/>
      </w:r>
      <w:r>
        <w:rPr>
          <w:rFonts w:ascii="Times New Roman"/>
          <w:b w:val="false"/>
          <w:i w:val="false"/>
          <w:color w:val="000000"/>
          <w:sz w:val="28"/>
        </w:rPr>
        <w:t>
</w:t>
      </w:r>
    </w:p>
    <w:bookmarkStart w:name="z96" w:id="89"/>
    <w:p>
      <w:pPr>
        <w:spacing w:after="0"/>
        <w:ind w:left="0"/>
        <w:jc w:val="both"/>
      </w:pPr>
      <w:r>
        <w:rPr>
          <w:rFonts w:ascii="Times New Roman"/>
          <w:b w:val="false"/>
          <w:i w:val="false"/>
          <w:color w:val="000000"/>
          <w:sz w:val="28"/>
        </w:rPr>
        <w:t>
      8) коэффициент учета бедности (на основе доли лиц с доходами ниже прожиточного минимума):</w:t>
      </w:r>
    </w:p>
    <w:bookmarkEnd w:id="89"/>
    <w:bookmarkStart w:name="z97" w:id="90"/>
    <w:p>
      <w:pPr>
        <w:spacing w:after="0"/>
        <w:ind w:left="0"/>
        <w:jc w:val="both"/>
      </w:pPr>
      <w:r>
        <w:rPr>
          <w:rFonts w:ascii="Times New Roman"/>
          <w:b w:val="false"/>
          <w:i w:val="false"/>
          <w:color w:val="000000"/>
          <w:sz w:val="28"/>
        </w:rPr>
        <w:t xml:space="preserve">
      </w:t>
      </w:r>
    </w:p>
    <w:bookmarkEnd w:id="90"/>
    <w:p>
      <w:pPr>
        <w:spacing w:after="0"/>
        <w:ind w:left="0"/>
        <w:jc w:val="both"/>
      </w:pPr>
      <w:r>
        <w:drawing>
          <wp:inline distT="0" distB="0" distL="0" distR="0">
            <wp:extent cx="13716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3716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8" w:id="91"/>
    <w:p>
      <w:pPr>
        <w:spacing w:after="0"/>
        <w:ind w:left="0"/>
        <w:jc w:val="both"/>
      </w:pPr>
      <w:r>
        <w:rPr>
          <w:rFonts w:ascii="Times New Roman"/>
          <w:b w:val="false"/>
          <w:i w:val="false"/>
          <w:color w:val="000000"/>
          <w:sz w:val="28"/>
        </w:rPr>
        <w:t>
      где:</w:t>
      </w:r>
    </w:p>
    <w:bookmarkEnd w:id="91"/>
    <w:bookmarkStart w:name="z99" w:id="92"/>
    <w:p>
      <w:pPr>
        <w:spacing w:after="0"/>
        <w:ind w:left="0"/>
        <w:jc w:val="both"/>
      </w:pPr>
      <w:r>
        <w:rPr>
          <w:rFonts w:ascii="Times New Roman"/>
          <w:b w:val="false"/>
          <w:i w:val="false"/>
          <w:color w:val="000000"/>
          <w:sz w:val="28"/>
        </w:rPr>
        <w:t>
      b</w:t>
      </w:r>
      <w:r>
        <w:rPr>
          <w:rFonts w:ascii="Times New Roman"/>
          <w:b w:val="false"/>
          <w:i w:val="false"/>
          <w:color w:val="000000"/>
          <w:vertAlign w:val="subscript"/>
        </w:rPr>
        <w:t>i</w:t>
      </w:r>
      <w:r>
        <w:rPr>
          <w:rFonts w:ascii="Times New Roman"/>
          <w:b w:val="false"/>
          <w:i w:val="false"/>
          <w:color w:val="000000"/>
          <w:sz w:val="28"/>
        </w:rPr>
        <w:t xml:space="preserve"> – доля населения с доходами ниже величины прожиточного минимума в общей численности населения в i-й области (городе республиканского значения, столице).</w:t>
      </w:r>
    </w:p>
    <w:bookmarkEnd w:id="92"/>
    <w:bookmarkStart w:name="z100" w:id="93"/>
    <w:p>
      <w:pPr>
        <w:spacing w:after="0"/>
        <w:ind w:left="0"/>
        <w:jc w:val="both"/>
      </w:pPr>
      <w:r>
        <w:rPr>
          <w:rFonts w:ascii="Times New Roman"/>
          <w:b w:val="false"/>
          <w:i w:val="false"/>
          <w:color w:val="000000"/>
          <w:sz w:val="28"/>
        </w:rPr>
        <w:t>
      Коэффициент учета бедности учитывает увеличение затрат бюджетов областей, городов республиканского значения, столицы на выплату социальной помощи в связи с ростом доли населения с доходами ниже величины прожиточного минимума;</w:t>
      </w:r>
    </w:p>
    <w:bookmarkEnd w:id="93"/>
    <w:bookmarkStart w:name="z101" w:id="94"/>
    <w:p>
      <w:pPr>
        <w:spacing w:after="0"/>
        <w:ind w:left="0"/>
        <w:jc w:val="both"/>
      </w:pPr>
      <w:r>
        <w:rPr>
          <w:rFonts w:ascii="Times New Roman"/>
          <w:b w:val="false"/>
          <w:i w:val="false"/>
          <w:color w:val="000000"/>
          <w:sz w:val="28"/>
        </w:rPr>
        <w:t>
      9) коэффициент учета продолжительности отопительного сезона:</w:t>
      </w:r>
    </w:p>
    <w:bookmarkEnd w:id="94"/>
    <w:bookmarkStart w:name="z102"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1778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7780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3" w:id="96"/>
    <w:p>
      <w:pPr>
        <w:spacing w:after="0"/>
        <w:ind w:left="0"/>
        <w:jc w:val="both"/>
      </w:pPr>
      <w:r>
        <w:rPr>
          <w:rFonts w:ascii="Times New Roman"/>
          <w:b w:val="false"/>
          <w:i w:val="false"/>
          <w:color w:val="000000"/>
          <w:sz w:val="28"/>
        </w:rPr>
        <w:t>
      где:</w:t>
      </w:r>
    </w:p>
    <w:bookmarkEnd w:id="96"/>
    <w:bookmarkStart w:name="z104" w:id="97"/>
    <w:p>
      <w:pPr>
        <w:spacing w:after="0"/>
        <w:ind w:left="0"/>
        <w:jc w:val="both"/>
      </w:pPr>
      <w:r>
        <w:rPr>
          <w:rFonts w:ascii="Times New Roman"/>
          <w:b w:val="false"/>
          <w:i w:val="false"/>
          <w:color w:val="000000"/>
          <w:sz w:val="28"/>
        </w:rPr>
        <w:t>
      d</w:t>
      </w:r>
      <w:r>
        <w:rPr>
          <w:rFonts w:ascii="Times New Roman"/>
          <w:b w:val="false"/>
          <w:i w:val="false"/>
          <w:color w:val="000000"/>
          <w:vertAlign w:val="subscript"/>
        </w:rPr>
        <w:t>i</w:t>
      </w:r>
      <w:r>
        <w:rPr>
          <w:rFonts w:ascii="Times New Roman"/>
          <w:b w:val="false"/>
          <w:i w:val="false"/>
          <w:color w:val="000000"/>
          <w:sz w:val="28"/>
        </w:rPr>
        <w:t xml:space="preserve"> – период отопительного сезона в i-й области (городе республиканского значения, столице);</w:t>
      </w:r>
    </w:p>
    <w:bookmarkEnd w:id="97"/>
    <w:bookmarkStart w:name="z105" w:id="98"/>
    <w:p>
      <w:pPr>
        <w:spacing w:after="0"/>
        <w:ind w:left="0"/>
        <w:jc w:val="both"/>
      </w:pPr>
      <w:r>
        <w:rPr>
          <w:rFonts w:ascii="Times New Roman"/>
          <w:b w:val="false"/>
          <w:i w:val="false"/>
          <w:color w:val="000000"/>
          <w:sz w:val="28"/>
        </w:rPr>
        <w:t xml:space="preserve">
      </w:t>
      </w:r>
    </w:p>
    <w:bookmarkEnd w:id="98"/>
    <w:p>
      <w:pPr>
        <w:spacing w:after="0"/>
        <w:ind w:left="0"/>
        <w:jc w:val="both"/>
      </w:pPr>
      <w:r>
        <w:drawing>
          <wp:inline distT="0" distB="0" distL="0" distR="0">
            <wp:extent cx="2159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2159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период отопительного сезона в среднем по Республике Казахстан;</w:t>
      </w:r>
      <w:r>
        <w:br/>
      </w:r>
      <w:r>
        <w:rPr>
          <w:rFonts w:ascii="Times New Roman"/>
          <w:b w:val="false"/>
          <w:i w:val="false"/>
          <w:color w:val="000000"/>
          <w:sz w:val="28"/>
        </w:rPr>
        <w:t>
</w:t>
      </w:r>
    </w:p>
    <w:bookmarkStart w:name="z106"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доля затрат на отопление в общем объеме текущих затрат бюджетов областей, городов республиканского значения, столицы.</w:t>
      </w:r>
      <w:r>
        <w:br/>
      </w:r>
      <w:r>
        <w:rPr>
          <w:rFonts w:ascii="Times New Roman"/>
          <w:b w:val="false"/>
          <w:i w:val="false"/>
          <w:color w:val="000000"/>
          <w:sz w:val="28"/>
        </w:rPr>
        <w:t>
</w:t>
      </w:r>
    </w:p>
    <w:bookmarkStart w:name="z107" w:id="100"/>
    <w:p>
      <w:pPr>
        <w:spacing w:after="0"/>
        <w:ind w:left="0"/>
        <w:jc w:val="both"/>
      </w:pPr>
      <w:r>
        <w:rPr>
          <w:rFonts w:ascii="Times New Roman"/>
          <w:b w:val="false"/>
          <w:i w:val="false"/>
          <w:color w:val="000000"/>
          <w:sz w:val="28"/>
        </w:rPr>
        <w:t>
      Коэффициент учета продолжительности отопительного сезона учитывает зависимость затрат бюджетов областей, городов республиканского значения, столицы на отопление от продолжительности отопительного сезона в Республике Казахстан.</w:t>
      </w:r>
    </w:p>
    <w:bookmarkEnd w:id="100"/>
    <w:bookmarkStart w:name="z108" w:id="101"/>
    <w:p>
      <w:pPr>
        <w:spacing w:after="0"/>
        <w:ind w:left="0"/>
        <w:jc w:val="both"/>
      </w:pPr>
      <w:r>
        <w:rPr>
          <w:rFonts w:ascii="Times New Roman"/>
          <w:b w:val="false"/>
          <w:i w:val="false"/>
          <w:color w:val="000000"/>
          <w:sz w:val="28"/>
        </w:rPr>
        <w:t>
      13. При расчете текущих затрат:</w:t>
      </w:r>
    </w:p>
    <w:bookmarkEnd w:id="101"/>
    <w:bookmarkStart w:name="z109" w:id="102"/>
    <w:p>
      <w:pPr>
        <w:spacing w:after="0"/>
        <w:ind w:left="0"/>
        <w:jc w:val="both"/>
      </w:pPr>
      <w:r>
        <w:rPr>
          <w:rFonts w:ascii="Times New Roman"/>
          <w:b w:val="false"/>
          <w:i w:val="false"/>
          <w:color w:val="000000"/>
          <w:sz w:val="28"/>
        </w:rPr>
        <w:t>
      для городов Алматы и Астана, учитывая их особый статус, применяются повышающие коэффициенты 1,25 и 1,5 соответственно.</w:t>
      </w:r>
    </w:p>
    <w:bookmarkEnd w:id="102"/>
    <w:bookmarkStart w:name="z110" w:id="103"/>
    <w:p>
      <w:pPr>
        <w:spacing w:after="0"/>
        <w:ind w:left="0"/>
        <w:jc w:val="left"/>
      </w:pPr>
      <w:r>
        <w:rPr>
          <w:rFonts w:ascii="Times New Roman"/>
          <w:b/>
          <w:i w:val="false"/>
          <w:color w:val="000000"/>
        </w:rPr>
        <w:t xml:space="preserve"> Параграф 2. Расчет прогнозных объемов затрат капитального характера бюджетов областей, городов республиканского значения, столицы</w:t>
      </w:r>
    </w:p>
    <w:bookmarkEnd w:id="103"/>
    <w:bookmarkStart w:name="z111" w:id="104"/>
    <w:p>
      <w:pPr>
        <w:spacing w:after="0"/>
        <w:ind w:left="0"/>
        <w:jc w:val="both"/>
      </w:pPr>
      <w:r>
        <w:rPr>
          <w:rFonts w:ascii="Times New Roman"/>
          <w:b w:val="false"/>
          <w:i w:val="false"/>
          <w:color w:val="000000"/>
          <w:sz w:val="28"/>
        </w:rPr>
        <w:t>
      14. Общий прогнозный объем средств, предусматриваемых для финансирования затрат капитального характера, определяется с разбивкой по годам в соответствии с процентным отношением к общему объему финансирования текущих затрат области (города республиканского значения, столицы).</w:t>
      </w:r>
    </w:p>
    <w:bookmarkEnd w:id="104"/>
    <w:bookmarkStart w:name="z112" w:id="105"/>
    <w:p>
      <w:pPr>
        <w:spacing w:after="0"/>
        <w:ind w:left="0"/>
        <w:jc w:val="both"/>
      </w:pPr>
      <w:r>
        <w:rPr>
          <w:rFonts w:ascii="Times New Roman"/>
          <w:b w:val="false"/>
          <w:i w:val="false"/>
          <w:color w:val="000000"/>
          <w:sz w:val="28"/>
        </w:rPr>
        <w:t>
      В расчетных текущих затратах i-й области (города республиканского значения, столицы) учитываются затраты на оказание гарантированного объема бесплатной медицинской помощи, которые финансируются из республиканского бюджета.</w:t>
      </w:r>
    </w:p>
    <w:bookmarkEnd w:id="105"/>
    <w:bookmarkStart w:name="z113" w:id="106"/>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капитального характера, отдельно по каждой области (городу республиканского значения, столице) производится по следующей формуле:</w:t>
      </w:r>
    </w:p>
    <w:bookmarkEnd w:id="106"/>
    <w:bookmarkStart w:name="z114" w:id="107"/>
    <w:p>
      <w:pPr>
        <w:spacing w:after="0"/>
        <w:ind w:left="0"/>
        <w:jc w:val="both"/>
      </w:pPr>
      <w:r>
        <w:rPr>
          <w:rFonts w:ascii="Times New Roman"/>
          <w:b w:val="false"/>
          <w:i w:val="false"/>
          <w:color w:val="000000"/>
          <w:sz w:val="28"/>
        </w:rPr>
        <w:t xml:space="preserve">
      </w:t>
      </w:r>
    </w:p>
    <w:bookmarkEnd w:id="107"/>
    <w:p>
      <w:pPr>
        <w:spacing w:after="0"/>
        <w:ind w:left="0"/>
        <w:jc w:val="both"/>
      </w:pPr>
      <w:r>
        <w:drawing>
          <wp:inline distT="0" distB="0" distL="0" distR="0">
            <wp:extent cx="1257300" cy="21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257300" cy="21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5" w:id="108"/>
    <w:p>
      <w:pPr>
        <w:spacing w:after="0"/>
        <w:ind w:left="0"/>
        <w:jc w:val="both"/>
      </w:pPr>
      <w:r>
        <w:rPr>
          <w:rFonts w:ascii="Times New Roman"/>
          <w:b w:val="false"/>
          <w:i w:val="false"/>
          <w:color w:val="000000"/>
          <w:sz w:val="28"/>
        </w:rPr>
        <w:t>
      где:</w:t>
      </w:r>
    </w:p>
    <w:bookmarkEnd w:id="108"/>
    <w:bookmarkStart w:name="z116" w:id="109"/>
    <w:p>
      <w:pPr>
        <w:spacing w:after="0"/>
        <w:ind w:left="0"/>
        <w:jc w:val="both"/>
      </w:pPr>
      <w:r>
        <w:rPr>
          <w:rFonts w:ascii="Times New Roman"/>
          <w:b w:val="false"/>
          <w:i w:val="false"/>
          <w:color w:val="000000"/>
          <w:sz w:val="28"/>
        </w:rPr>
        <w:t>
      КЗi – расчетные затраты капитального характера i-й области (города республиканского значения, столицы);</w:t>
      </w:r>
    </w:p>
    <w:bookmarkEnd w:id="109"/>
    <w:bookmarkStart w:name="z117" w:id="110"/>
    <w:p>
      <w:pPr>
        <w:spacing w:after="0"/>
        <w:ind w:left="0"/>
        <w:jc w:val="both"/>
      </w:pPr>
      <w:r>
        <w:rPr>
          <w:rFonts w:ascii="Times New Roman"/>
          <w:b w:val="false"/>
          <w:i w:val="false"/>
          <w:color w:val="000000"/>
          <w:sz w:val="28"/>
        </w:rPr>
        <w:t>
      РЗi – расчетные текущие затраты i-й области (города республиканского значения, столицы);</w:t>
      </w:r>
    </w:p>
    <w:bookmarkEnd w:id="110"/>
    <w:bookmarkStart w:name="z118" w:id="111"/>
    <w:p>
      <w:pPr>
        <w:spacing w:after="0"/>
        <w:ind w:left="0"/>
        <w:jc w:val="both"/>
      </w:pPr>
      <w:r>
        <w:rPr>
          <w:rFonts w:ascii="Times New Roman"/>
          <w:b w:val="false"/>
          <w:i w:val="false"/>
          <w:color w:val="000000"/>
          <w:sz w:val="28"/>
        </w:rPr>
        <w:t>
      k – величина процентного отношения затрат капитального характера к общему объему текущих затрат.</w:t>
      </w:r>
    </w:p>
    <w:bookmarkEnd w:id="111"/>
    <w:bookmarkStart w:name="z119" w:id="112"/>
    <w:p>
      <w:pPr>
        <w:spacing w:after="0"/>
        <w:ind w:left="0"/>
        <w:jc w:val="both"/>
      </w:pPr>
      <w:r>
        <w:rPr>
          <w:rFonts w:ascii="Times New Roman"/>
          <w:b w:val="false"/>
          <w:i w:val="false"/>
          <w:color w:val="000000"/>
          <w:sz w:val="28"/>
        </w:rPr>
        <w:t>
      Для определения объемов трансфертов общего характера между республиканским бюджетом и бюджетами областей, городов республиканского значения, столицы величина k равняется 6,5%.</w:t>
      </w:r>
    </w:p>
    <w:bookmarkEnd w:id="112"/>
    <w:bookmarkStart w:name="z120" w:id="113"/>
    <w:p>
      <w:pPr>
        <w:spacing w:after="0"/>
        <w:ind w:left="0"/>
        <w:jc w:val="left"/>
      </w:pPr>
      <w:r>
        <w:rPr>
          <w:rFonts w:ascii="Times New Roman"/>
          <w:b/>
          <w:i w:val="false"/>
          <w:color w:val="000000"/>
        </w:rPr>
        <w:t xml:space="preserve"> Параграф 3. Расчет прогнозных объемов затрат по бюджетным программам развития бюджетов областей, городов республиканского значения, столицы</w:t>
      </w:r>
    </w:p>
    <w:bookmarkEnd w:id="113"/>
    <w:bookmarkStart w:name="z121" w:id="114"/>
    <w:p>
      <w:pPr>
        <w:spacing w:after="0"/>
        <w:ind w:left="0"/>
        <w:jc w:val="both"/>
      </w:pPr>
      <w:r>
        <w:rPr>
          <w:rFonts w:ascii="Times New Roman"/>
          <w:b w:val="false"/>
          <w:i w:val="false"/>
          <w:color w:val="000000"/>
          <w:sz w:val="28"/>
        </w:rPr>
        <w:t>
      15. Общий прогнозный объем средств, предусматриваемых для финансирования затрат по бюджетным программам развития определяется с разбивкой по годам в процентном соотношении к прогнозному объему текущих затрат области (города республиканского значения, столицы).</w:t>
      </w:r>
    </w:p>
    <w:bookmarkEnd w:id="114"/>
    <w:bookmarkStart w:name="z122" w:id="115"/>
    <w:p>
      <w:pPr>
        <w:spacing w:after="0"/>
        <w:ind w:left="0"/>
        <w:jc w:val="both"/>
      </w:pPr>
      <w:r>
        <w:rPr>
          <w:rFonts w:ascii="Times New Roman"/>
          <w:b w:val="false"/>
          <w:i w:val="false"/>
          <w:color w:val="000000"/>
          <w:sz w:val="28"/>
        </w:rPr>
        <w:t>
      Расчет прогнозного объема средств, предусматриваемых для финансирования затрат по бюджетным программам развития, отдельно по каждой области (городу республиканского значения, столице) производится по следующей формуле:</w:t>
      </w:r>
    </w:p>
    <w:bookmarkEnd w:id="115"/>
    <w:bookmarkStart w:name="z123" w:id="116"/>
    <w:p>
      <w:pPr>
        <w:spacing w:after="0"/>
        <w:ind w:left="0"/>
        <w:jc w:val="both"/>
      </w:pPr>
      <w:r>
        <w:rPr>
          <w:rFonts w:ascii="Times New Roman"/>
          <w:b w:val="false"/>
          <w:i w:val="false"/>
          <w:color w:val="000000"/>
          <w:sz w:val="28"/>
        </w:rPr>
        <w:t xml:space="preserve">
      </w:t>
      </w:r>
    </w:p>
    <w:bookmarkEnd w:id="116"/>
    <w:p>
      <w:pPr>
        <w:spacing w:after="0"/>
        <w:ind w:left="0"/>
        <w:jc w:val="both"/>
      </w:pPr>
      <w:r>
        <w:drawing>
          <wp:inline distT="0" distB="0" distL="0" distR="0">
            <wp:extent cx="1435100" cy="22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435100" cy="22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где:</w:t>
      </w:r>
    </w:p>
    <w:bookmarkStart w:name="z124" w:id="117"/>
    <w:p>
      <w:pPr>
        <w:spacing w:after="0"/>
        <w:ind w:left="0"/>
        <w:jc w:val="both"/>
      </w:pPr>
      <w:r>
        <w:rPr>
          <w:rFonts w:ascii="Times New Roman"/>
          <w:b w:val="false"/>
          <w:i w:val="false"/>
          <w:color w:val="000000"/>
          <w:sz w:val="28"/>
        </w:rPr>
        <w:t>
      ЗБПР</w:t>
      </w:r>
      <w:r>
        <w:rPr>
          <w:rFonts w:ascii="Times New Roman"/>
          <w:b w:val="false"/>
          <w:i w:val="false"/>
          <w:color w:val="000000"/>
          <w:vertAlign w:val="superscript"/>
        </w:rPr>
        <w:t>i</w:t>
      </w:r>
      <w:r>
        <w:rPr>
          <w:rFonts w:ascii="Times New Roman"/>
          <w:b w:val="false"/>
          <w:i w:val="false"/>
          <w:color w:val="000000"/>
          <w:sz w:val="28"/>
        </w:rPr>
        <w:t xml:space="preserve"> – расчетные затраты по бюджетным программам развития i-й области (города республиканского значения, столицы); </w:t>
      </w:r>
    </w:p>
    <w:bookmarkEnd w:id="117"/>
    <w:bookmarkStart w:name="z125" w:id="118"/>
    <w:p>
      <w:pPr>
        <w:spacing w:after="0"/>
        <w:ind w:left="0"/>
        <w:jc w:val="both"/>
      </w:pPr>
      <w:r>
        <w:rPr>
          <w:rFonts w:ascii="Times New Roman"/>
          <w:b w:val="false"/>
          <w:i w:val="false"/>
          <w:color w:val="000000"/>
          <w:sz w:val="28"/>
        </w:rPr>
        <w:t>
      РЗ</w:t>
      </w:r>
      <w:r>
        <w:rPr>
          <w:rFonts w:ascii="Times New Roman"/>
          <w:b w:val="false"/>
          <w:i w:val="false"/>
          <w:color w:val="000000"/>
          <w:vertAlign w:val="superscript"/>
        </w:rPr>
        <w:t>i</w:t>
      </w:r>
      <w:r>
        <w:rPr>
          <w:rFonts w:ascii="Times New Roman"/>
          <w:b w:val="false"/>
          <w:i w:val="false"/>
          <w:color w:val="000000"/>
          <w:sz w:val="28"/>
        </w:rPr>
        <w:t xml:space="preserve"> – расчетные текущие затраты i-й области (города республиканского значения, столицы);</w:t>
      </w:r>
    </w:p>
    <w:bookmarkEnd w:id="118"/>
    <w:bookmarkStart w:name="z126" w:id="119"/>
    <w:p>
      <w:pPr>
        <w:spacing w:after="0"/>
        <w:ind w:left="0"/>
        <w:jc w:val="both"/>
      </w:pPr>
      <w:r>
        <w:rPr>
          <w:rFonts w:ascii="Times New Roman"/>
          <w:b w:val="false"/>
          <w:i w:val="false"/>
          <w:color w:val="000000"/>
          <w:sz w:val="28"/>
        </w:rPr>
        <w:t>
      r – величина процентного отношения затрат по бюджетным программам развития к общему объему текущих затрат.</w:t>
      </w:r>
    </w:p>
    <w:bookmarkEnd w:id="119"/>
    <w:bookmarkStart w:name="z127" w:id="120"/>
    <w:p>
      <w:pPr>
        <w:spacing w:after="0"/>
        <w:ind w:left="0"/>
        <w:jc w:val="both"/>
      </w:pPr>
      <w:r>
        <w:rPr>
          <w:rFonts w:ascii="Times New Roman"/>
          <w:b w:val="false"/>
          <w:i w:val="false"/>
          <w:color w:val="000000"/>
          <w:sz w:val="28"/>
        </w:rPr>
        <w:t>
      16. Величина коэффициента r устанавливается:</w:t>
      </w:r>
    </w:p>
    <w:bookmarkEnd w:id="120"/>
    <w:bookmarkStart w:name="z128" w:id="121"/>
    <w:p>
      <w:pPr>
        <w:spacing w:after="0"/>
        <w:ind w:left="0"/>
        <w:jc w:val="both"/>
      </w:pPr>
      <w:r>
        <w:rPr>
          <w:rFonts w:ascii="Times New Roman"/>
          <w:b w:val="false"/>
          <w:i w:val="false"/>
          <w:color w:val="000000"/>
          <w:sz w:val="28"/>
        </w:rPr>
        <w:t>
      для определения объемов трансфертов общего характера между республиканским бюджетом и бюджетами областей, городов республиканского значения, столицы) - решением Республиканской бюджетной комиссии.</w:t>
      </w:r>
    </w:p>
    <w:bookmarkEnd w:id="121"/>
    <w:bookmarkStart w:name="z129" w:id="122"/>
    <w:p>
      <w:pPr>
        <w:spacing w:after="0"/>
        <w:ind w:left="0"/>
        <w:jc w:val="left"/>
      </w:pPr>
      <w:r>
        <w:rPr>
          <w:rFonts w:ascii="Times New Roman"/>
          <w:b/>
          <w:i w:val="false"/>
          <w:color w:val="000000"/>
        </w:rPr>
        <w:t xml:space="preserve"> Глава 5. Заключительные положения</w:t>
      </w:r>
    </w:p>
    <w:bookmarkEnd w:id="122"/>
    <w:bookmarkStart w:name="z130" w:id="123"/>
    <w:p>
      <w:pPr>
        <w:spacing w:after="0"/>
        <w:ind w:left="0"/>
        <w:jc w:val="both"/>
      </w:pPr>
      <w:r>
        <w:rPr>
          <w:rFonts w:ascii="Times New Roman"/>
          <w:b w:val="false"/>
          <w:i w:val="false"/>
          <w:color w:val="000000"/>
          <w:sz w:val="28"/>
        </w:rPr>
        <w:t>
      17. Расчеты определения объемов трансфертов общего характера вносятся на рассмотрение Республиканской бюджетной комиссии центральным уполномоченным органом по государственному планированию для определения прогнозных показателей бюджетов областей, городов республиканского значения, столицы на предстоящий трехлетний период.</w:t>
      </w:r>
    </w:p>
    <w:bookmarkEnd w:id="123"/>
    <w:bookmarkStart w:name="z131" w:id="124"/>
    <w:p>
      <w:pPr>
        <w:spacing w:after="0"/>
        <w:ind w:left="0"/>
        <w:jc w:val="both"/>
      </w:pPr>
      <w:r>
        <w:rPr>
          <w:rFonts w:ascii="Times New Roman"/>
          <w:b w:val="false"/>
          <w:i w:val="false"/>
          <w:color w:val="000000"/>
          <w:sz w:val="28"/>
        </w:rPr>
        <w:t>
      18. После рассмотрения на Республиканской бюджетной комиссии объемы трансфертов общего характера по годам в разрезе областей, городов республиканского значения, столицы устанавливаются в соответствующем законе об объемах трансфертов общего характера на предстоящий трехлетний период.</w:t>
      </w:r>
    </w:p>
    <w:bookmarkEnd w:id="124"/>
    <w:bookmarkStart w:name="z132" w:id="125"/>
    <w:p>
      <w:pPr>
        <w:spacing w:after="0"/>
        <w:ind w:left="0"/>
        <w:jc w:val="both"/>
      </w:pPr>
      <w:r>
        <w:rPr>
          <w:rFonts w:ascii="Times New Roman"/>
          <w:b w:val="false"/>
          <w:i w:val="false"/>
          <w:color w:val="000000"/>
          <w:sz w:val="28"/>
        </w:rPr>
        <w:t>
      19. В целях установления объемов трансфертов общего характера местный уполномоченный орган по государственному планированию области рассчитывает прогнозные объемы доходов и затрат бюджетов районов, городов областного значения в порядке, определяемом местным исполнительным органом области.</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Методике расчетов</w:t>
            </w:r>
            <w:r>
              <w:br/>
            </w:r>
            <w:r>
              <w:rPr>
                <w:rFonts w:ascii="Times New Roman"/>
                <w:b w:val="false"/>
                <w:i w:val="false"/>
                <w:color w:val="000000"/>
                <w:sz w:val="20"/>
              </w:rPr>
              <w:t>трансфертов общего характера</w:t>
            </w:r>
            <w:r>
              <w:br/>
            </w:r>
          </w:p>
        </w:tc>
      </w:tr>
    </w:tbl>
    <w:bookmarkStart w:name="z134" w:id="126"/>
    <w:p>
      <w:pPr>
        <w:spacing w:after="0"/>
        <w:ind w:left="0"/>
        <w:jc w:val="left"/>
      </w:pPr>
      <w:r>
        <w:rPr>
          <w:rFonts w:ascii="Times New Roman"/>
          <w:b/>
          <w:i w:val="false"/>
          <w:color w:val="000000"/>
        </w:rPr>
        <w:t xml:space="preserve"> Перечень функциональных подгрупп, осуществляемых государственных функций, показателей и коэффициентов к ним</w:t>
      </w:r>
    </w:p>
    <w:bookmarkEnd w:id="126"/>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35" w:id="127"/>
          <w:p>
            <w:pPr>
              <w:spacing w:after="20"/>
              <w:ind w:left="20"/>
              <w:jc w:val="both"/>
            </w:pPr>
            <w:r>
              <w:rPr>
                <w:rFonts w:ascii="Times New Roman"/>
                <w:b w:val="false"/>
                <w:i w:val="false"/>
                <w:color w:val="000000"/>
                <w:sz w:val="20"/>
              </w:rPr>
              <w:t>
</w:t>
            </w:r>
            <w:r>
              <w:rPr>
                <w:rFonts w:ascii="Times New Roman"/>
                <w:b/>
                <w:i w:val="false"/>
                <w:color w:val="000000"/>
                <w:sz w:val="20"/>
              </w:rPr>
              <w:t>Наименование функциональных подгрупп</w:t>
            </w:r>
          </w:p>
          <w:bookmarkEnd w:id="12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Показатели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Коэффициенты</w:t>
            </w:r>
          </w:p>
        </w:tc>
      </w:tr>
      <w:tr>
        <w:trPr>
          <w:trHeight w:val="30" w:hRule="atLeast"/>
        </w:trPr>
        <w:tc>
          <w:tcPr>
            <w:tcW w:w="4100" w:type="dxa"/>
            <w:tcBorders/>
            <w:tcMar>
              <w:top w:w="15" w:type="dxa"/>
              <w:left w:w="15" w:type="dxa"/>
              <w:bottom w:w="15" w:type="dxa"/>
              <w:right w:w="15" w:type="dxa"/>
            </w:tcMar>
            <w:vAlign w:val="center"/>
          </w:tcPr>
          <w:bookmarkStart w:name="z136" w:id="128"/>
          <w:p>
            <w:pPr>
              <w:spacing w:after="20"/>
              <w:ind w:left="20"/>
              <w:jc w:val="both"/>
            </w:pPr>
            <w:r>
              <w:rPr>
                <w:rFonts w:ascii="Times New Roman"/>
                <w:b w:val="false"/>
                <w:i w:val="false"/>
                <w:color w:val="000000"/>
                <w:sz w:val="20"/>
              </w:rPr>
              <w:t>
</w:t>
            </w:r>
            <w:r>
              <w:rPr>
                <w:rFonts w:ascii="Times New Roman"/>
                <w:b/>
                <w:i w:val="false"/>
                <w:color w:val="000000"/>
                <w:sz w:val="20"/>
              </w:rPr>
              <w:t>1</w:t>
            </w:r>
          </w:p>
          <w:bookmarkEnd w:id="12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r>
      <w:tr>
        <w:trPr>
          <w:trHeight w:val="30" w:hRule="atLeast"/>
        </w:trPr>
        <w:tc>
          <w:tcPr>
            <w:tcW w:w="0" w:type="auto"/>
            <w:gridSpan w:val="3"/>
            <w:tcBorders/>
            <w:tcMar>
              <w:top w:w="15" w:type="dxa"/>
              <w:left w:w="15" w:type="dxa"/>
              <w:bottom w:w="15" w:type="dxa"/>
              <w:right w:w="15" w:type="dxa"/>
            </w:tcMar>
            <w:vAlign w:val="center"/>
          </w:tcPr>
          <w:bookmarkStart w:name="z137" w:id="129"/>
          <w:p>
            <w:pPr>
              <w:spacing w:after="20"/>
              <w:ind w:left="20"/>
              <w:jc w:val="both"/>
            </w:pPr>
            <w:r>
              <w:rPr>
                <w:rFonts w:ascii="Times New Roman"/>
                <w:b w:val="false"/>
                <w:i w:val="false"/>
                <w:color w:val="000000"/>
                <w:sz w:val="20"/>
              </w:rPr>
              <w:t>
</w:t>
            </w:r>
            <w:r>
              <w:rPr>
                <w:rFonts w:ascii="Times New Roman"/>
                <w:b/>
                <w:i w:val="false"/>
                <w:color w:val="000000"/>
                <w:sz w:val="20"/>
              </w:rPr>
              <w:t>1. Государственные услуги общего характера</w:t>
            </w:r>
          </w:p>
          <w:bookmarkEnd w:id="129"/>
        </w:tc>
      </w:tr>
      <w:tr>
        <w:trPr>
          <w:trHeight w:val="30" w:hRule="atLeast"/>
        </w:trPr>
        <w:tc>
          <w:tcPr>
            <w:tcW w:w="4100" w:type="dxa"/>
            <w:tcBorders/>
            <w:tcMar>
              <w:top w:w="15" w:type="dxa"/>
              <w:left w:w="15" w:type="dxa"/>
              <w:bottom w:w="15" w:type="dxa"/>
              <w:right w:w="15" w:type="dxa"/>
            </w:tcMar>
            <w:vAlign w:val="center"/>
          </w:tcPr>
          <w:bookmarkStart w:name="z138" w:id="130"/>
          <w:p>
            <w:pPr>
              <w:spacing w:after="20"/>
              <w:ind w:left="20"/>
              <w:jc w:val="both"/>
            </w:pPr>
            <w:r>
              <w:rPr>
                <w:rFonts w:ascii="Times New Roman"/>
                <w:b w:val="false"/>
                <w:i w:val="false"/>
                <w:color w:val="000000"/>
                <w:sz w:val="20"/>
              </w:rPr>
              <w:t>
Представительные, исполнительные и другие органы, выполняющие общие функции государственного управления</w:t>
            </w:r>
          </w:p>
          <w:bookmarkEnd w:id="130"/>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w:t>
            </w:r>
          </w:p>
          <w:p>
            <w:pPr>
              <w:spacing w:after="20"/>
              <w:ind w:left="20"/>
              <w:jc w:val="both"/>
            </w:pPr>
            <w:r>
              <w:rPr>
                <w:rFonts w:ascii="Times New Roman"/>
                <w:b w:val="false"/>
                <w:i w:val="false"/>
                <w:color w:val="000000"/>
                <w:sz w:val="20"/>
              </w:rPr>
              <w:t>
плотности;</w:t>
            </w:r>
          </w:p>
          <w:p>
            <w:pPr>
              <w:spacing w:after="20"/>
              <w:ind w:left="20"/>
              <w:jc w:val="both"/>
            </w:pPr>
            <w:r>
              <w:rPr>
                <w:rFonts w:ascii="Times New Roman"/>
                <w:b w:val="false"/>
                <w:i w:val="false"/>
                <w:color w:val="000000"/>
                <w:sz w:val="20"/>
              </w:rPr>
              <w:t>
масштаба;</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cMar>
              <w:top w:w="15" w:type="dxa"/>
              <w:left w:w="15" w:type="dxa"/>
              <w:bottom w:w="15" w:type="dxa"/>
              <w:right w:w="15" w:type="dxa"/>
            </w:tcMar>
            <w:vAlign w:val="center"/>
          </w:tcPr>
          <w:bookmarkStart w:name="z139" w:id="131"/>
          <w:p>
            <w:pPr>
              <w:spacing w:after="20"/>
              <w:ind w:left="20"/>
              <w:jc w:val="both"/>
            </w:pPr>
            <w:r>
              <w:rPr>
                <w:rFonts w:ascii="Times New Roman"/>
                <w:b w:val="false"/>
                <w:i w:val="false"/>
                <w:color w:val="000000"/>
                <w:sz w:val="20"/>
              </w:rPr>
              <w:t>
Финансовая деятельность</w:t>
            </w:r>
          </w:p>
          <w:bookmarkEnd w:id="131"/>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w:t>
            </w:r>
          </w:p>
          <w:p>
            <w:pPr>
              <w:spacing w:after="20"/>
              <w:ind w:left="20"/>
              <w:jc w:val="both"/>
            </w:pPr>
            <w:r>
              <w:rPr>
                <w:rFonts w:ascii="Times New Roman"/>
                <w:b w:val="false"/>
                <w:i w:val="false"/>
                <w:color w:val="000000"/>
                <w:sz w:val="20"/>
              </w:rPr>
              <w:t>
плотности;</w:t>
            </w:r>
          </w:p>
          <w:p>
            <w:pPr>
              <w:spacing w:after="20"/>
              <w:ind w:left="20"/>
              <w:jc w:val="both"/>
            </w:pPr>
            <w:r>
              <w:rPr>
                <w:rFonts w:ascii="Times New Roman"/>
                <w:b w:val="false"/>
                <w:i w:val="false"/>
                <w:color w:val="000000"/>
                <w:sz w:val="20"/>
              </w:rPr>
              <w:t>
масштаба;</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cMar>
              <w:top w:w="15" w:type="dxa"/>
              <w:left w:w="15" w:type="dxa"/>
              <w:bottom w:w="15" w:type="dxa"/>
              <w:right w:w="15" w:type="dxa"/>
            </w:tcMar>
            <w:vAlign w:val="center"/>
          </w:tcPr>
          <w:bookmarkStart w:name="z140" w:id="132"/>
          <w:p>
            <w:pPr>
              <w:spacing w:after="20"/>
              <w:ind w:left="20"/>
              <w:jc w:val="both"/>
            </w:pPr>
            <w:r>
              <w:rPr>
                <w:rFonts w:ascii="Times New Roman"/>
                <w:b w:val="false"/>
                <w:i w:val="false"/>
                <w:color w:val="000000"/>
                <w:sz w:val="20"/>
              </w:rPr>
              <w:t>
Планирование и статистическая деятельность</w:t>
            </w:r>
          </w:p>
          <w:bookmarkEnd w:id="132"/>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w:t>
            </w:r>
          </w:p>
          <w:p>
            <w:pPr>
              <w:spacing w:after="20"/>
              <w:ind w:left="20"/>
              <w:jc w:val="both"/>
            </w:pPr>
            <w:r>
              <w:rPr>
                <w:rFonts w:ascii="Times New Roman"/>
                <w:b w:val="false"/>
                <w:i w:val="false"/>
                <w:color w:val="000000"/>
                <w:sz w:val="20"/>
              </w:rPr>
              <w:t>
плотности;</w:t>
            </w:r>
          </w:p>
          <w:p>
            <w:pPr>
              <w:spacing w:after="20"/>
              <w:ind w:left="20"/>
              <w:jc w:val="both"/>
            </w:pPr>
            <w:r>
              <w:rPr>
                <w:rFonts w:ascii="Times New Roman"/>
                <w:b w:val="false"/>
                <w:i w:val="false"/>
                <w:color w:val="000000"/>
                <w:sz w:val="20"/>
              </w:rPr>
              <w:t>
масштаба;</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cMar>
              <w:top w:w="15" w:type="dxa"/>
              <w:left w:w="15" w:type="dxa"/>
              <w:bottom w:w="15" w:type="dxa"/>
              <w:right w:w="15" w:type="dxa"/>
            </w:tcMar>
            <w:vAlign w:val="center"/>
          </w:tcPr>
          <w:bookmarkStart w:name="z141" w:id="133"/>
          <w:p>
            <w:pPr>
              <w:spacing w:after="20"/>
              <w:ind w:left="20"/>
              <w:jc w:val="both"/>
            </w:pPr>
            <w:r>
              <w:rPr>
                <w:rFonts w:ascii="Times New Roman"/>
                <w:b w:val="false"/>
                <w:i w:val="false"/>
                <w:color w:val="000000"/>
                <w:sz w:val="20"/>
              </w:rPr>
              <w:t>
Прочие услуги общего характера</w:t>
            </w:r>
          </w:p>
          <w:bookmarkEnd w:id="133"/>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w:t>
            </w:r>
          </w:p>
          <w:p>
            <w:pPr>
              <w:spacing w:after="20"/>
              <w:ind w:left="20"/>
              <w:jc w:val="both"/>
            </w:pPr>
            <w:r>
              <w:rPr>
                <w:rFonts w:ascii="Times New Roman"/>
                <w:b w:val="false"/>
                <w:i w:val="false"/>
                <w:color w:val="000000"/>
                <w:sz w:val="20"/>
              </w:rPr>
              <w:t>
плотности;</w:t>
            </w:r>
          </w:p>
          <w:p>
            <w:pPr>
              <w:spacing w:after="20"/>
              <w:ind w:left="20"/>
              <w:jc w:val="both"/>
            </w:pPr>
            <w:r>
              <w:rPr>
                <w:rFonts w:ascii="Times New Roman"/>
                <w:b w:val="false"/>
                <w:i w:val="false"/>
                <w:color w:val="000000"/>
                <w:sz w:val="20"/>
              </w:rPr>
              <w:t>
масштаба;</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0" w:type="auto"/>
            <w:gridSpan w:val="3"/>
            <w:tcBorders/>
            <w:tcMar>
              <w:top w:w="15" w:type="dxa"/>
              <w:left w:w="15" w:type="dxa"/>
              <w:bottom w:w="15" w:type="dxa"/>
              <w:right w:w="15" w:type="dxa"/>
            </w:tcMar>
            <w:vAlign w:val="center"/>
          </w:tcPr>
          <w:bookmarkStart w:name="z142" w:id="134"/>
          <w:p>
            <w:pPr>
              <w:spacing w:after="20"/>
              <w:ind w:left="20"/>
              <w:jc w:val="both"/>
            </w:pPr>
            <w:r>
              <w:rPr>
                <w:rFonts w:ascii="Times New Roman"/>
                <w:b w:val="false"/>
                <w:i w:val="false"/>
                <w:color w:val="000000"/>
                <w:sz w:val="20"/>
              </w:rPr>
              <w:t>
</w:t>
            </w:r>
            <w:r>
              <w:rPr>
                <w:rFonts w:ascii="Times New Roman"/>
                <w:b/>
                <w:i w:val="false"/>
                <w:color w:val="000000"/>
                <w:sz w:val="20"/>
              </w:rPr>
              <w:t>2. Оборона</w:t>
            </w:r>
          </w:p>
          <w:bookmarkEnd w:id="134"/>
        </w:tc>
      </w:tr>
      <w:tr>
        <w:trPr>
          <w:trHeight w:val="30" w:hRule="atLeast"/>
        </w:trPr>
        <w:tc>
          <w:tcPr>
            <w:tcW w:w="4100" w:type="dxa"/>
            <w:tcBorders/>
            <w:tcMar>
              <w:top w:w="15" w:type="dxa"/>
              <w:left w:w="15" w:type="dxa"/>
              <w:bottom w:w="15" w:type="dxa"/>
              <w:right w:w="15" w:type="dxa"/>
            </w:tcMar>
            <w:vAlign w:val="center"/>
          </w:tcPr>
          <w:bookmarkStart w:name="z143" w:id="135"/>
          <w:p>
            <w:pPr>
              <w:spacing w:after="20"/>
              <w:ind w:left="20"/>
              <w:jc w:val="both"/>
            </w:pPr>
            <w:r>
              <w:rPr>
                <w:rFonts w:ascii="Times New Roman"/>
                <w:b w:val="false"/>
                <w:i w:val="false"/>
                <w:color w:val="000000"/>
                <w:sz w:val="20"/>
              </w:rPr>
              <w:t>
Военные нужды</w:t>
            </w:r>
          </w:p>
          <w:bookmarkEnd w:id="13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мужского пола призывного возраста от 18 до 26 лет включительно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cMar>
              <w:top w:w="15" w:type="dxa"/>
              <w:left w:w="15" w:type="dxa"/>
              <w:bottom w:w="15" w:type="dxa"/>
              <w:right w:w="15" w:type="dxa"/>
            </w:tcMar>
            <w:vAlign w:val="center"/>
          </w:tcPr>
          <w:bookmarkStart w:name="z144" w:id="136"/>
          <w:p>
            <w:pPr>
              <w:spacing w:after="20"/>
              <w:ind w:left="20"/>
              <w:jc w:val="both"/>
            </w:pPr>
            <w:r>
              <w:rPr>
                <w:rFonts w:ascii="Times New Roman"/>
                <w:b w:val="false"/>
                <w:i w:val="false"/>
                <w:color w:val="000000"/>
                <w:sz w:val="20"/>
              </w:rPr>
              <w:t>
Организация работы по чрезвычайным ситуациям</w:t>
            </w:r>
          </w:p>
          <w:bookmarkEnd w:id="13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0" w:type="auto"/>
            <w:gridSpan w:val="3"/>
            <w:tcBorders/>
            <w:tcMar>
              <w:top w:w="15" w:type="dxa"/>
              <w:left w:w="15" w:type="dxa"/>
              <w:bottom w:w="15" w:type="dxa"/>
              <w:right w:w="15" w:type="dxa"/>
            </w:tcMar>
            <w:vAlign w:val="center"/>
          </w:tcPr>
          <w:bookmarkStart w:name="z145" w:id="137"/>
          <w:p>
            <w:pPr>
              <w:spacing w:after="20"/>
              <w:ind w:left="20"/>
              <w:jc w:val="both"/>
            </w:pPr>
            <w:r>
              <w:rPr>
                <w:rFonts w:ascii="Times New Roman"/>
                <w:b w:val="false"/>
                <w:i w:val="false"/>
                <w:color w:val="000000"/>
                <w:sz w:val="20"/>
              </w:rPr>
              <w:t>
</w:t>
            </w:r>
            <w:r>
              <w:rPr>
                <w:rFonts w:ascii="Times New Roman"/>
                <w:b/>
                <w:i w:val="false"/>
                <w:color w:val="000000"/>
                <w:sz w:val="20"/>
              </w:rPr>
              <w:t>3. Общественный порядок, безопасность, правовая, судебная,</w:t>
            </w:r>
          </w:p>
          <w:bookmarkEnd w:id="137"/>
          <w:p>
            <w:pPr>
              <w:spacing w:after="20"/>
              <w:ind w:left="20"/>
              <w:jc w:val="both"/>
            </w:pPr>
            <w:r>
              <w:rPr>
                <w:rFonts w:ascii="Times New Roman"/>
                <w:b w:val="false"/>
                <w:i w:val="false"/>
                <w:color w:val="000000"/>
                <w:sz w:val="20"/>
              </w:rPr>
              <w:t>
</w:t>
            </w:r>
            <w:r>
              <w:rPr>
                <w:rFonts w:ascii="Times New Roman"/>
                <w:b/>
                <w:i w:val="false"/>
                <w:color w:val="000000"/>
                <w:sz w:val="20"/>
              </w:rPr>
              <w:t>уголовно-исполнительная деятельность</w:t>
            </w:r>
          </w:p>
        </w:tc>
      </w:tr>
      <w:tr>
        <w:trPr>
          <w:trHeight w:val="30" w:hRule="atLeast"/>
        </w:trPr>
        <w:tc>
          <w:tcPr>
            <w:tcW w:w="4100" w:type="dxa"/>
            <w:tcBorders/>
            <w:tcMar>
              <w:top w:w="15" w:type="dxa"/>
              <w:left w:w="15" w:type="dxa"/>
              <w:bottom w:w="15" w:type="dxa"/>
              <w:right w:w="15" w:type="dxa"/>
            </w:tcMar>
            <w:vAlign w:val="center"/>
          </w:tcPr>
          <w:bookmarkStart w:name="z146" w:id="138"/>
          <w:p>
            <w:pPr>
              <w:spacing w:after="20"/>
              <w:ind w:left="20"/>
              <w:jc w:val="both"/>
            </w:pPr>
            <w:r>
              <w:rPr>
                <w:rFonts w:ascii="Times New Roman"/>
                <w:b w:val="false"/>
                <w:i w:val="false"/>
                <w:color w:val="000000"/>
                <w:sz w:val="20"/>
              </w:rPr>
              <w:t>
Правоохранительная деятельность</w:t>
            </w:r>
          </w:p>
          <w:bookmarkEnd w:id="13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масштаба;</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0" w:type="auto"/>
            <w:gridSpan w:val="3"/>
            <w:tcBorders/>
            <w:tcMar>
              <w:top w:w="15" w:type="dxa"/>
              <w:left w:w="15" w:type="dxa"/>
              <w:bottom w:w="15" w:type="dxa"/>
              <w:right w:w="15" w:type="dxa"/>
            </w:tcMar>
            <w:vAlign w:val="center"/>
          </w:tcPr>
          <w:bookmarkStart w:name="z147" w:id="139"/>
          <w:p>
            <w:pPr>
              <w:spacing w:after="20"/>
              <w:ind w:left="20"/>
              <w:jc w:val="both"/>
            </w:pPr>
            <w:r>
              <w:rPr>
                <w:rFonts w:ascii="Times New Roman"/>
                <w:b w:val="false"/>
                <w:i w:val="false"/>
                <w:color w:val="000000"/>
                <w:sz w:val="20"/>
              </w:rPr>
              <w:t>
</w:t>
            </w:r>
            <w:r>
              <w:rPr>
                <w:rFonts w:ascii="Times New Roman"/>
                <w:b/>
                <w:i w:val="false"/>
                <w:color w:val="000000"/>
                <w:sz w:val="20"/>
              </w:rPr>
              <w:t>4. Образование</w:t>
            </w:r>
          </w:p>
          <w:bookmarkEnd w:id="139"/>
        </w:tc>
      </w:tr>
      <w:tr>
        <w:trPr>
          <w:trHeight w:val="30" w:hRule="atLeast"/>
        </w:trPr>
        <w:tc>
          <w:tcPr>
            <w:tcW w:w="4100" w:type="dxa"/>
            <w:tcBorders/>
            <w:tcMar>
              <w:top w:w="15" w:type="dxa"/>
              <w:left w:w="15" w:type="dxa"/>
              <w:bottom w:w="15" w:type="dxa"/>
              <w:right w:w="15" w:type="dxa"/>
            </w:tcMar>
            <w:vAlign w:val="center"/>
          </w:tcPr>
          <w:bookmarkStart w:name="z148" w:id="140"/>
          <w:p>
            <w:pPr>
              <w:spacing w:after="20"/>
              <w:ind w:left="20"/>
              <w:jc w:val="both"/>
            </w:pPr>
            <w:r>
              <w:rPr>
                <w:rFonts w:ascii="Times New Roman"/>
                <w:b w:val="false"/>
                <w:i w:val="false"/>
                <w:color w:val="000000"/>
                <w:sz w:val="20"/>
              </w:rPr>
              <w:t>
Дошкольное воспитание и обучение</w:t>
            </w:r>
          </w:p>
          <w:bookmarkEnd w:id="14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1-5 лет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учета надбавок за работу в сельской местности;</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cMar>
              <w:top w:w="15" w:type="dxa"/>
              <w:left w:w="15" w:type="dxa"/>
              <w:bottom w:w="15" w:type="dxa"/>
              <w:right w:w="15" w:type="dxa"/>
            </w:tcMar>
            <w:vAlign w:val="center"/>
          </w:tcPr>
          <w:bookmarkStart w:name="z149" w:id="141"/>
          <w:p>
            <w:pPr>
              <w:spacing w:after="20"/>
              <w:ind w:left="20"/>
              <w:jc w:val="both"/>
            </w:pPr>
            <w:r>
              <w:rPr>
                <w:rFonts w:ascii="Times New Roman"/>
                <w:b w:val="false"/>
                <w:i w:val="false"/>
                <w:color w:val="000000"/>
                <w:sz w:val="20"/>
              </w:rPr>
              <w:t>
Начальное, основное среднее и общее среднее образование</w:t>
            </w:r>
          </w:p>
          <w:bookmarkEnd w:id="14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6-18 лет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дисперсности расселения; </w:t>
            </w:r>
          </w:p>
          <w:p>
            <w:pPr>
              <w:spacing w:after="20"/>
              <w:ind w:left="20"/>
              <w:jc w:val="both"/>
            </w:pPr>
            <w:r>
              <w:rPr>
                <w:rFonts w:ascii="Times New Roman"/>
                <w:b w:val="false"/>
                <w:i w:val="false"/>
                <w:color w:val="000000"/>
                <w:sz w:val="20"/>
              </w:rPr>
              <w:t xml:space="preserve">
 учета надбавок за работу в сельской местности; </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cMar>
              <w:top w:w="15" w:type="dxa"/>
              <w:left w:w="15" w:type="dxa"/>
              <w:bottom w:w="15" w:type="dxa"/>
              <w:right w:w="15" w:type="dxa"/>
            </w:tcMar>
            <w:vAlign w:val="center"/>
          </w:tcPr>
          <w:bookmarkStart w:name="z150" w:id="142"/>
          <w:p>
            <w:pPr>
              <w:spacing w:after="20"/>
              <w:ind w:left="20"/>
              <w:jc w:val="both"/>
            </w:pPr>
            <w:r>
              <w:rPr>
                <w:rFonts w:ascii="Times New Roman"/>
                <w:b w:val="false"/>
                <w:i w:val="false"/>
                <w:color w:val="000000"/>
                <w:sz w:val="20"/>
              </w:rPr>
              <w:t>
Техническое и профессиональное, послесреднее образование</w:t>
            </w:r>
          </w:p>
          <w:bookmarkEnd w:id="142"/>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от 14 до 18 лет</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xml:space="preserve">
 учета надбавок за работу в сельской местности; </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cMar>
              <w:top w:w="15" w:type="dxa"/>
              <w:left w:w="15" w:type="dxa"/>
              <w:bottom w:w="15" w:type="dxa"/>
              <w:right w:w="15" w:type="dxa"/>
            </w:tcMar>
            <w:vAlign w:val="center"/>
          </w:tcPr>
          <w:bookmarkStart w:name="z151" w:id="143"/>
          <w:p>
            <w:pPr>
              <w:spacing w:after="20"/>
              <w:ind w:left="20"/>
              <w:jc w:val="both"/>
            </w:pPr>
            <w:r>
              <w:rPr>
                <w:rFonts w:ascii="Times New Roman"/>
                <w:b w:val="false"/>
                <w:i w:val="false"/>
                <w:color w:val="000000"/>
                <w:sz w:val="20"/>
              </w:rPr>
              <w:t>
Переподготовка и повышение квалификации специалистов</w:t>
            </w:r>
          </w:p>
          <w:bookmarkEnd w:id="14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cMar>
              <w:top w:w="15" w:type="dxa"/>
              <w:left w:w="15" w:type="dxa"/>
              <w:bottom w:w="15" w:type="dxa"/>
              <w:right w:w="15" w:type="dxa"/>
            </w:tcMar>
            <w:vAlign w:val="center"/>
          </w:tcPr>
          <w:bookmarkStart w:name="z152" w:id="144"/>
          <w:p>
            <w:pPr>
              <w:spacing w:after="20"/>
              <w:ind w:left="20"/>
              <w:jc w:val="both"/>
            </w:pPr>
            <w:r>
              <w:rPr>
                <w:rFonts w:ascii="Times New Roman"/>
                <w:b w:val="false"/>
                <w:i w:val="false"/>
                <w:color w:val="000000"/>
                <w:sz w:val="20"/>
              </w:rPr>
              <w:t>
Прочие услуги в области образования</w:t>
            </w:r>
          </w:p>
          <w:bookmarkEnd w:id="14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плотности;</w:t>
            </w:r>
          </w:p>
          <w:p>
            <w:pPr>
              <w:spacing w:after="20"/>
              <w:ind w:left="20"/>
              <w:jc w:val="both"/>
            </w:pPr>
            <w:r>
              <w:rPr>
                <w:rFonts w:ascii="Times New Roman"/>
                <w:b w:val="false"/>
                <w:i w:val="false"/>
                <w:color w:val="000000"/>
                <w:sz w:val="20"/>
              </w:rPr>
              <w:t xml:space="preserve">
 учета надбавок за работу в сельской местности; </w:t>
            </w:r>
          </w:p>
          <w:p>
            <w:pPr>
              <w:spacing w:after="20"/>
              <w:ind w:left="20"/>
              <w:jc w:val="both"/>
            </w:pPr>
            <w:r>
              <w:rPr>
                <w:rFonts w:ascii="Times New Roman"/>
                <w:b w:val="false"/>
                <w:i w:val="false"/>
                <w:color w:val="000000"/>
                <w:sz w:val="20"/>
              </w:rPr>
              <w:t xml:space="preserve">
 возрастной структуры населения; </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0" w:type="auto"/>
            <w:gridSpan w:val="3"/>
            <w:tcBorders/>
            <w:tcMar>
              <w:top w:w="15" w:type="dxa"/>
              <w:left w:w="15" w:type="dxa"/>
              <w:bottom w:w="15" w:type="dxa"/>
              <w:right w:w="15" w:type="dxa"/>
            </w:tcMar>
            <w:vAlign w:val="center"/>
          </w:tcPr>
          <w:bookmarkStart w:name="z153" w:id="145"/>
          <w:p>
            <w:pPr>
              <w:spacing w:after="20"/>
              <w:ind w:left="20"/>
              <w:jc w:val="both"/>
            </w:pPr>
            <w:r>
              <w:rPr>
                <w:rFonts w:ascii="Times New Roman"/>
                <w:b w:val="false"/>
                <w:i w:val="false"/>
                <w:color w:val="000000"/>
                <w:sz w:val="20"/>
              </w:rPr>
              <w:t>
</w:t>
            </w:r>
            <w:r>
              <w:rPr>
                <w:rFonts w:ascii="Times New Roman"/>
                <w:b/>
                <w:i w:val="false"/>
                <w:color w:val="000000"/>
                <w:sz w:val="20"/>
              </w:rPr>
              <w:t>5. Здравоохранение</w:t>
            </w:r>
          </w:p>
          <w:bookmarkEnd w:id="145"/>
        </w:tc>
      </w:tr>
      <w:tr>
        <w:trPr>
          <w:trHeight w:val="30" w:hRule="atLeast"/>
        </w:trPr>
        <w:tc>
          <w:tcPr>
            <w:tcW w:w="4100" w:type="dxa"/>
            <w:tcBorders/>
            <w:tcMar>
              <w:top w:w="15" w:type="dxa"/>
              <w:left w:w="15" w:type="dxa"/>
              <w:bottom w:w="15" w:type="dxa"/>
              <w:right w:w="15" w:type="dxa"/>
            </w:tcMar>
            <w:vAlign w:val="center"/>
          </w:tcPr>
          <w:bookmarkStart w:name="z154" w:id="146"/>
          <w:p>
            <w:pPr>
              <w:spacing w:after="20"/>
              <w:ind w:left="20"/>
              <w:jc w:val="both"/>
            </w:pPr>
            <w:r>
              <w:rPr>
                <w:rFonts w:ascii="Times New Roman"/>
                <w:b w:val="false"/>
                <w:i w:val="false"/>
                <w:color w:val="000000"/>
                <w:sz w:val="20"/>
              </w:rPr>
              <w:t>
Больницы широкого профиля</w:t>
            </w:r>
          </w:p>
          <w:bookmarkEnd w:id="146"/>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возрастной структуры населения;</w:t>
            </w:r>
          </w:p>
          <w:p>
            <w:pPr>
              <w:spacing w:after="20"/>
              <w:ind w:left="20"/>
              <w:jc w:val="both"/>
            </w:pPr>
            <w:r>
              <w:rPr>
                <w:rFonts w:ascii="Times New Roman"/>
                <w:b w:val="false"/>
                <w:i w:val="false"/>
                <w:color w:val="000000"/>
                <w:sz w:val="20"/>
              </w:rPr>
              <w:t xml:space="preserve">
 учета надбавок за работу в сельской местности; </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cMar>
              <w:top w:w="15" w:type="dxa"/>
              <w:left w:w="15" w:type="dxa"/>
              <w:bottom w:w="15" w:type="dxa"/>
              <w:right w:w="15" w:type="dxa"/>
            </w:tcMar>
            <w:vAlign w:val="center"/>
          </w:tcPr>
          <w:bookmarkStart w:name="z155" w:id="147"/>
          <w:p>
            <w:pPr>
              <w:spacing w:after="20"/>
              <w:ind w:left="20"/>
              <w:jc w:val="both"/>
            </w:pPr>
            <w:r>
              <w:rPr>
                <w:rFonts w:ascii="Times New Roman"/>
                <w:b w:val="false"/>
                <w:i w:val="false"/>
                <w:color w:val="000000"/>
                <w:sz w:val="20"/>
              </w:rPr>
              <w:t>
Охрана здоровья населения</w:t>
            </w:r>
          </w:p>
          <w:bookmarkEnd w:id="147"/>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плотности;</w:t>
            </w:r>
          </w:p>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xml:space="preserve">
 учета надбавок за работу в сельской местности; </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cMar>
              <w:top w:w="15" w:type="dxa"/>
              <w:left w:w="15" w:type="dxa"/>
              <w:bottom w:w="15" w:type="dxa"/>
              <w:right w:w="15" w:type="dxa"/>
            </w:tcMar>
            <w:vAlign w:val="center"/>
          </w:tcPr>
          <w:bookmarkStart w:name="z156" w:id="148"/>
          <w:p>
            <w:pPr>
              <w:spacing w:after="20"/>
              <w:ind w:left="20"/>
              <w:jc w:val="both"/>
            </w:pPr>
            <w:r>
              <w:rPr>
                <w:rFonts w:ascii="Times New Roman"/>
                <w:b w:val="false"/>
                <w:i w:val="false"/>
                <w:color w:val="000000"/>
                <w:sz w:val="20"/>
              </w:rPr>
              <w:t>
Специализированная медицинская помощь</w:t>
            </w:r>
          </w:p>
          <w:bookmarkEnd w:id="148"/>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масштаба;</w:t>
            </w:r>
          </w:p>
          <w:p>
            <w:pPr>
              <w:spacing w:after="20"/>
              <w:ind w:left="20"/>
              <w:jc w:val="both"/>
            </w:pPr>
            <w:r>
              <w:rPr>
                <w:rFonts w:ascii="Times New Roman"/>
                <w:b w:val="false"/>
                <w:i w:val="false"/>
                <w:color w:val="000000"/>
                <w:sz w:val="20"/>
              </w:rPr>
              <w:t xml:space="preserve">
 учета надбавок за работу в сельской местности; </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cMar>
              <w:top w:w="15" w:type="dxa"/>
              <w:left w:w="15" w:type="dxa"/>
              <w:bottom w:w="15" w:type="dxa"/>
              <w:right w:w="15" w:type="dxa"/>
            </w:tcMar>
            <w:vAlign w:val="center"/>
          </w:tcPr>
          <w:bookmarkStart w:name="z157" w:id="149"/>
          <w:p>
            <w:pPr>
              <w:spacing w:after="20"/>
              <w:ind w:left="20"/>
              <w:jc w:val="both"/>
            </w:pPr>
            <w:r>
              <w:rPr>
                <w:rFonts w:ascii="Times New Roman"/>
                <w:b w:val="false"/>
                <w:i w:val="false"/>
                <w:color w:val="000000"/>
                <w:sz w:val="20"/>
              </w:rPr>
              <w:t>
Поликлиники</w:t>
            </w:r>
          </w:p>
          <w:bookmarkEnd w:id="149"/>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возрастной структуры населения;</w:t>
            </w:r>
          </w:p>
          <w:p>
            <w:pPr>
              <w:spacing w:after="20"/>
              <w:ind w:left="20"/>
              <w:jc w:val="both"/>
            </w:pPr>
            <w:r>
              <w:rPr>
                <w:rFonts w:ascii="Times New Roman"/>
                <w:b w:val="false"/>
                <w:i w:val="false"/>
                <w:color w:val="000000"/>
                <w:sz w:val="20"/>
              </w:rPr>
              <w:t xml:space="preserve">
 учета надбавок за работу в сельской местности; </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cMar>
              <w:top w:w="15" w:type="dxa"/>
              <w:left w:w="15" w:type="dxa"/>
              <w:bottom w:w="15" w:type="dxa"/>
              <w:right w:w="15" w:type="dxa"/>
            </w:tcMar>
            <w:vAlign w:val="center"/>
          </w:tcPr>
          <w:bookmarkStart w:name="z158" w:id="150"/>
          <w:p>
            <w:pPr>
              <w:spacing w:after="20"/>
              <w:ind w:left="20"/>
              <w:jc w:val="both"/>
            </w:pPr>
            <w:r>
              <w:rPr>
                <w:rFonts w:ascii="Times New Roman"/>
                <w:b w:val="false"/>
                <w:i w:val="false"/>
                <w:color w:val="000000"/>
                <w:sz w:val="20"/>
              </w:rPr>
              <w:t>
Другие виды медицинской помощи</w:t>
            </w:r>
          </w:p>
          <w:bookmarkEnd w:id="150"/>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плотности;</w:t>
            </w:r>
          </w:p>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xml:space="preserve">
 учета надбавок за работу в сельской местности; </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cMar>
              <w:top w:w="15" w:type="dxa"/>
              <w:left w:w="15" w:type="dxa"/>
              <w:bottom w:w="15" w:type="dxa"/>
              <w:right w:w="15" w:type="dxa"/>
            </w:tcMar>
            <w:vAlign w:val="center"/>
          </w:tcPr>
          <w:bookmarkStart w:name="z159" w:id="151"/>
          <w:p>
            <w:pPr>
              <w:spacing w:after="20"/>
              <w:ind w:left="20"/>
              <w:jc w:val="both"/>
            </w:pPr>
            <w:r>
              <w:rPr>
                <w:rFonts w:ascii="Times New Roman"/>
                <w:b w:val="false"/>
                <w:i w:val="false"/>
                <w:color w:val="000000"/>
                <w:sz w:val="20"/>
              </w:rPr>
              <w:t>
Прочие услуги в области здравоохранения</w:t>
            </w:r>
          </w:p>
          <w:bookmarkEnd w:id="151"/>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плотности;</w:t>
            </w:r>
          </w:p>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0" w:type="auto"/>
            <w:gridSpan w:val="3"/>
            <w:tcBorders/>
            <w:tcMar>
              <w:top w:w="15" w:type="dxa"/>
              <w:left w:w="15" w:type="dxa"/>
              <w:bottom w:w="15" w:type="dxa"/>
              <w:right w:w="15" w:type="dxa"/>
            </w:tcMar>
            <w:vAlign w:val="center"/>
          </w:tcPr>
          <w:bookmarkStart w:name="z160" w:id="152"/>
          <w:p>
            <w:pPr>
              <w:spacing w:after="20"/>
              <w:ind w:left="20"/>
              <w:jc w:val="both"/>
            </w:pPr>
            <w:r>
              <w:rPr>
                <w:rFonts w:ascii="Times New Roman"/>
                <w:b w:val="false"/>
                <w:i w:val="false"/>
                <w:color w:val="000000"/>
                <w:sz w:val="20"/>
              </w:rPr>
              <w:t>
</w:t>
            </w:r>
            <w:r>
              <w:rPr>
                <w:rFonts w:ascii="Times New Roman"/>
                <w:b/>
                <w:i w:val="false"/>
                <w:color w:val="000000"/>
                <w:sz w:val="20"/>
              </w:rPr>
              <w:t>6. Социальная помощь и социальное обеспечение</w:t>
            </w:r>
          </w:p>
          <w:bookmarkEnd w:id="152"/>
        </w:tc>
      </w:tr>
      <w:tr>
        <w:trPr>
          <w:trHeight w:val="30" w:hRule="atLeast"/>
        </w:trPr>
        <w:tc>
          <w:tcPr>
            <w:tcW w:w="4100" w:type="dxa"/>
            <w:tcBorders/>
            <w:tcMar>
              <w:top w:w="15" w:type="dxa"/>
              <w:left w:w="15" w:type="dxa"/>
              <w:bottom w:w="15" w:type="dxa"/>
              <w:right w:w="15" w:type="dxa"/>
            </w:tcMar>
            <w:vAlign w:val="center"/>
          </w:tcPr>
          <w:bookmarkStart w:name="z161" w:id="153"/>
          <w:p>
            <w:pPr>
              <w:spacing w:after="20"/>
              <w:ind w:left="20"/>
              <w:jc w:val="both"/>
            </w:pPr>
            <w:r>
              <w:rPr>
                <w:rFonts w:ascii="Times New Roman"/>
                <w:b w:val="false"/>
                <w:i w:val="false"/>
                <w:color w:val="000000"/>
                <w:sz w:val="20"/>
              </w:rPr>
              <w:t>
Социальное обеспечение</w:t>
            </w:r>
          </w:p>
          <w:bookmarkEnd w:id="15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детей в возрасте 6-18 лет и численность населения старше пенсионного возраста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w:t>
            </w:r>
          </w:p>
          <w:p>
            <w:pPr>
              <w:spacing w:after="20"/>
              <w:ind w:left="20"/>
              <w:jc w:val="both"/>
            </w:pPr>
            <w:r>
              <w:rPr>
                <w:rFonts w:ascii="Times New Roman"/>
                <w:b w:val="false"/>
                <w:i w:val="false"/>
                <w:color w:val="000000"/>
                <w:sz w:val="20"/>
              </w:rPr>
              <w:t>
учета надбавок за работу в сельской местности;</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cMar>
              <w:top w:w="15" w:type="dxa"/>
              <w:left w:w="15" w:type="dxa"/>
              <w:bottom w:w="15" w:type="dxa"/>
              <w:right w:w="15" w:type="dxa"/>
            </w:tcMar>
            <w:vAlign w:val="center"/>
          </w:tcPr>
          <w:bookmarkStart w:name="z162" w:id="154"/>
          <w:p>
            <w:pPr>
              <w:spacing w:after="20"/>
              <w:ind w:left="20"/>
              <w:jc w:val="both"/>
            </w:pPr>
            <w:r>
              <w:rPr>
                <w:rFonts w:ascii="Times New Roman"/>
                <w:b w:val="false"/>
                <w:i w:val="false"/>
                <w:color w:val="000000"/>
                <w:sz w:val="20"/>
              </w:rPr>
              <w:t>
Социальная помощь</w:t>
            </w:r>
          </w:p>
          <w:bookmarkEnd w:id="154"/>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w:t>
            </w:r>
          </w:p>
          <w:p>
            <w:pPr>
              <w:spacing w:after="20"/>
              <w:ind w:left="20"/>
              <w:jc w:val="both"/>
            </w:pPr>
            <w:r>
              <w:rPr>
                <w:rFonts w:ascii="Times New Roman"/>
                <w:b w:val="false"/>
                <w:i w:val="false"/>
                <w:color w:val="000000"/>
                <w:sz w:val="20"/>
              </w:rPr>
              <w:t>
учета бедности (на основе доли лиц с доходами ниже прожиточного минимума);</w:t>
            </w:r>
          </w:p>
          <w:p>
            <w:pPr>
              <w:spacing w:after="20"/>
              <w:ind w:left="20"/>
              <w:jc w:val="both"/>
            </w:pPr>
            <w:r>
              <w:rPr>
                <w:rFonts w:ascii="Times New Roman"/>
                <w:b w:val="false"/>
                <w:i w:val="false"/>
                <w:color w:val="000000"/>
                <w:sz w:val="20"/>
              </w:rPr>
              <w:t xml:space="preserve">
 учета надбавок за работу в сельской местности; </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cMar>
              <w:top w:w="15" w:type="dxa"/>
              <w:left w:w="15" w:type="dxa"/>
              <w:bottom w:w="15" w:type="dxa"/>
              <w:right w:w="15" w:type="dxa"/>
            </w:tcMar>
            <w:vAlign w:val="center"/>
          </w:tcPr>
          <w:bookmarkStart w:name="z163" w:id="155"/>
          <w:p>
            <w:pPr>
              <w:spacing w:after="20"/>
              <w:ind w:left="20"/>
              <w:jc w:val="both"/>
            </w:pPr>
            <w:r>
              <w:rPr>
                <w:rFonts w:ascii="Times New Roman"/>
                <w:b w:val="false"/>
                <w:i w:val="false"/>
                <w:color w:val="000000"/>
                <w:sz w:val="20"/>
              </w:rPr>
              <w:t>
Прочие услуги в области социальной помощи и социального обеспечения</w:t>
            </w:r>
          </w:p>
          <w:bookmarkEnd w:id="155"/>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дисперсности расселения;</w:t>
            </w:r>
          </w:p>
          <w:p>
            <w:pPr>
              <w:spacing w:after="20"/>
              <w:ind w:left="20"/>
              <w:jc w:val="both"/>
            </w:pPr>
            <w:r>
              <w:rPr>
                <w:rFonts w:ascii="Times New Roman"/>
                <w:b w:val="false"/>
                <w:i w:val="false"/>
                <w:color w:val="000000"/>
                <w:sz w:val="20"/>
              </w:rPr>
              <w:t>
плотности;</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0" w:type="auto"/>
            <w:gridSpan w:val="3"/>
            <w:tcBorders/>
            <w:tcMar>
              <w:top w:w="15" w:type="dxa"/>
              <w:left w:w="15" w:type="dxa"/>
              <w:bottom w:w="15" w:type="dxa"/>
              <w:right w:w="15" w:type="dxa"/>
            </w:tcMar>
            <w:vAlign w:val="center"/>
          </w:tcPr>
          <w:bookmarkStart w:name="z164" w:id="156"/>
          <w:p>
            <w:pPr>
              <w:spacing w:after="20"/>
              <w:ind w:left="20"/>
              <w:jc w:val="both"/>
            </w:pPr>
            <w:r>
              <w:rPr>
                <w:rFonts w:ascii="Times New Roman"/>
                <w:b w:val="false"/>
                <w:i w:val="false"/>
                <w:color w:val="000000"/>
                <w:sz w:val="20"/>
              </w:rPr>
              <w:t>
</w:t>
            </w:r>
            <w:r>
              <w:rPr>
                <w:rFonts w:ascii="Times New Roman"/>
                <w:b/>
                <w:i w:val="false"/>
                <w:color w:val="000000"/>
                <w:sz w:val="20"/>
              </w:rPr>
              <w:t>7. Жилищно-коммунальное хозяйство</w:t>
            </w:r>
          </w:p>
          <w:bookmarkEnd w:id="156"/>
        </w:tc>
      </w:tr>
      <w:tr>
        <w:trPr>
          <w:trHeight w:val="30" w:hRule="atLeast"/>
        </w:trPr>
        <w:tc>
          <w:tcPr>
            <w:tcW w:w="4100" w:type="dxa"/>
            <w:tcBorders/>
            <w:tcMar>
              <w:top w:w="15" w:type="dxa"/>
              <w:left w:w="15" w:type="dxa"/>
              <w:bottom w:w="15" w:type="dxa"/>
              <w:right w:w="15" w:type="dxa"/>
            </w:tcMar>
            <w:vAlign w:val="center"/>
          </w:tcPr>
          <w:bookmarkStart w:name="z165" w:id="157"/>
          <w:p>
            <w:pPr>
              <w:spacing w:after="20"/>
              <w:ind w:left="20"/>
              <w:jc w:val="both"/>
            </w:pPr>
            <w:r>
              <w:rPr>
                <w:rFonts w:ascii="Times New Roman"/>
                <w:b w:val="false"/>
                <w:i w:val="false"/>
                <w:color w:val="000000"/>
                <w:sz w:val="20"/>
              </w:rPr>
              <w:t>
Жилищное хозяйство</w:t>
            </w:r>
          </w:p>
          <w:bookmarkEnd w:id="157"/>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cMar>
              <w:top w:w="15" w:type="dxa"/>
              <w:left w:w="15" w:type="dxa"/>
              <w:bottom w:w="15" w:type="dxa"/>
              <w:right w:w="15" w:type="dxa"/>
            </w:tcMar>
            <w:vAlign w:val="center"/>
          </w:tcPr>
          <w:bookmarkStart w:name="z166" w:id="158"/>
          <w:p>
            <w:pPr>
              <w:spacing w:after="20"/>
              <w:ind w:left="20"/>
              <w:jc w:val="both"/>
            </w:pPr>
            <w:r>
              <w:rPr>
                <w:rFonts w:ascii="Times New Roman"/>
                <w:b w:val="false"/>
                <w:i w:val="false"/>
                <w:color w:val="000000"/>
                <w:sz w:val="20"/>
              </w:rPr>
              <w:t>
Коммунальное хозяйство</w:t>
            </w:r>
          </w:p>
          <w:bookmarkEnd w:id="158"/>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плотности;</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cMar>
              <w:top w:w="15" w:type="dxa"/>
              <w:left w:w="15" w:type="dxa"/>
              <w:bottom w:w="15" w:type="dxa"/>
              <w:right w:w="15" w:type="dxa"/>
            </w:tcMar>
            <w:vAlign w:val="center"/>
          </w:tcPr>
          <w:bookmarkStart w:name="z167" w:id="159"/>
          <w:p>
            <w:pPr>
              <w:spacing w:after="20"/>
              <w:ind w:left="20"/>
              <w:jc w:val="both"/>
            </w:pPr>
            <w:r>
              <w:rPr>
                <w:rFonts w:ascii="Times New Roman"/>
                <w:b w:val="false"/>
                <w:i w:val="false"/>
                <w:color w:val="000000"/>
                <w:sz w:val="20"/>
              </w:rPr>
              <w:t>
Благоустройство населенных пунктов</w:t>
            </w:r>
          </w:p>
          <w:bookmarkEnd w:id="159"/>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плотности;</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0" w:type="auto"/>
            <w:gridSpan w:val="3"/>
            <w:tcBorders/>
            <w:tcMar>
              <w:top w:w="15" w:type="dxa"/>
              <w:left w:w="15" w:type="dxa"/>
              <w:bottom w:w="15" w:type="dxa"/>
              <w:right w:w="15" w:type="dxa"/>
            </w:tcMar>
            <w:vAlign w:val="center"/>
          </w:tcPr>
          <w:bookmarkStart w:name="z168" w:id="160"/>
          <w:p>
            <w:pPr>
              <w:spacing w:after="20"/>
              <w:ind w:left="20"/>
              <w:jc w:val="both"/>
            </w:pPr>
            <w:r>
              <w:rPr>
                <w:rFonts w:ascii="Times New Roman"/>
                <w:b w:val="false"/>
                <w:i w:val="false"/>
                <w:color w:val="000000"/>
                <w:sz w:val="20"/>
              </w:rPr>
              <w:t>
</w:t>
            </w:r>
            <w:r>
              <w:rPr>
                <w:rFonts w:ascii="Times New Roman"/>
                <w:b/>
                <w:i w:val="false"/>
                <w:color w:val="000000"/>
                <w:sz w:val="20"/>
              </w:rPr>
              <w:t>8. Культура, спорт, туризм и информационное пространство</w:t>
            </w:r>
          </w:p>
          <w:bookmarkEnd w:id="160"/>
        </w:tc>
      </w:tr>
      <w:tr>
        <w:trPr>
          <w:trHeight w:val="30" w:hRule="atLeast"/>
        </w:trPr>
        <w:tc>
          <w:tcPr>
            <w:tcW w:w="4100" w:type="dxa"/>
            <w:tcBorders/>
            <w:tcMar>
              <w:top w:w="15" w:type="dxa"/>
              <w:left w:w="15" w:type="dxa"/>
              <w:bottom w:w="15" w:type="dxa"/>
              <w:right w:w="15" w:type="dxa"/>
            </w:tcMar>
            <w:vAlign w:val="center"/>
          </w:tcPr>
          <w:bookmarkStart w:name="z169" w:id="161"/>
          <w:p>
            <w:pPr>
              <w:spacing w:after="20"/>
              <w:ind w:left="20"/>
              <w:jc w:val="both"/>
            </w:pPr>
            <w:r>
              <w:rPr>
                <w:rFonts w:ascii="Times New Roman"/>
                <w:b w:val="false"/>
                <w:i w:val="false"/>
                <w:color w:val="000000"/>
                <w:sz w:val="20"/>
              </w:rPr>
              <w:t>
Деятельность в области культуры</w:t>
            </w:r>
          </w:p>
          <w:bookmarkEnd w:id="161"/>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масштаба;</w:t>
            </w:r>
          </w:p>
          <w:p>
            <w:pPr>
              <w:spacing w:after="20"/>
              <w:ind w:left="20"/>
              <w:jc w:val="both"/>
            </w:pPr>
            <w:r>
              <w:rPr>
                <w:rFonts w:ascii="Times New Roman"/>
                <w:b w:val="false"/>
                <w:i w:val="false"/>
                <w:color w:val="000000"/>
                <w:sz w:val="20"/>
              </w:rPr>
              <w:t>
учета надбавок за работу в сельской местности;</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cMar>
              <w:top w:w="15" w:type="dxa"/>
              <w:left w:w="15" w:type="dxa"/>
              <w:bottom w:w="15" w:type="dxa"/>
              <w:right w:w="15" w:type="dxa"/>
            </w:tcMar>
            <w:vAlign w:val="center"/>
          </w:tcPr>
          <w:bookmarkStart w:name="z170" w:id="162"/>
          <w:p>
            <w:pPr>
              <w:spacing w:after="20"/>
              <w:ind w:left="20"/>
              <w:jc w:val="both"/>
            </w:pPr>
            <w:r>
              <w:rPr>
                <w:rFonts w:ascii="Times New Roman"/>
                <w:b w:val="false"/>
                <w:i w:val="false"/>
                <w:color w:val="000000"/>
                <w:sz w:val="20"/>
              </w:rPr>
              <w:t>
Спорт</w:t>
            </w:r>
          </w:p>
          <w:bookmarkEnd w:id="162"/>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урбанизации; </w:t>
            </w:r>
          </w:p>
          <w:p>
            <w:pPr>
              <w:spacing w:after="20"/>
              <w:ind w:left="20"/>
              <w:jc w:val="both"/>
            </w:pPr>
            <w:r>
              <w:rPr>
                <w:rFonts w:ascii="Times New Roman"/>
                <w:b w:val="false"/>
                <w:i w:val="false"/>
                <w:color w:val="000000"/>
                <w:sz w:val="20"/>
              </w:rPr>
              <w:t xml:space="preserve">
 масштаба; </w:t>
            </w:r>
          </w:p>
          <w:p>
            <w:pPr>
              <w:spacing w:after="20"/>
              <w:ind w:left="20"/>
              <w:jc w:val="both"/>
            </w:pPr>
            <w:r>
              <w:rPr>
                <w:rFonts w:ascii="Times New Roman"/>
                <w:b w:val="false"/>
                <w:i w:val="false"/>
                <w:color w:val="000000"/>
                <w:sz w:val="20"/>
              </w:rPr>
              <w:t xml:space="preserve">
 учета надбавок за работу в сельской местности; </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cMar>
              <w:top w:w="15" w:type="dxa"/>
              <w:left w:w="15" w:type="dxa"/>
              <w:bottom w:w="15" w:type="dxa"/>
              <w:right w:w="15" w:type="dxa"/>
            </w:tcMar>
            <w:vAlign w:val="center"/>
          </w:tcPr>
          <w:bookmarkStart w:name="z171" w:id="163"/>
          <w:p>
            <w:pPr>
              <w:spacing w:after="20"/>
              <w:ind w:left="20"/>
              <w:jc w:val="both"/>
            </w:pPr>
            <w:r>
              <w:rPr>
                <w:rFonts w:ascii="Times New Roman"/>
                <w:b w:val="false"/>
                <w:i w:val="false"/>
                <w:color w:val="000000"/>
                <w:sz w:val="20"/>
              </w:rPr>
              <w:t>
Информационное пространство</w:t>
            </w:r>
          </w:p>
          <w:bookmarkEnd w:id="163"/>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xml:space="preserve">
 масштаба; </w:t>
            </w:r>
          </w:p>
          <w:p>
            <w:pPr>
              <w:spacing w:after="20"/>
              <w:ind w:left="20"/>
              <w:jc w:val="both"/>
            </w:pPr>
            <w:r>
              <w:rPr>
                <w:rFonts w:ascii="Times New Roman"/>
                <w:b w:val="false"/>
                <w:i w:val="false"/>
                <w:color w:val="000000"/>
                <w:sz w:val="20"/>
              </w:rPr>
              <w:t xml:space="preserve">
 учета надбавок за работу в сельской местности; </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cMar>
              <w:top w:w="15" w:type="dxa"/>
              <w:left w:w="15" w:type="dxa"/>
              <w:bottom w:w="15" w:type="dxa"/>
              <w:right w:w="15" w:type="dxa"/>
            </w:tcMar>
            <w:vAlign w:val="center"/>
          </w:tcPr>
          <w:bookmarkStart w:name="z172" w:id="164"/>
          <w:p>
            <w:pPr>
              <w:spacing w:after="20"/>
              <w:ind w:left="20"/>
              <w:jc w:val="both"/>
            </w:pPr>
            <w:r>
              <w:rPr>
                <w:rFonts w:ascii="Times New Roman"/>
                <w:b w:val="false"/>
                <w:i w:val="false"/>
                <w:color w:val="000000"/>
                <w:sz w:val="20"/>
              </w:rPr>
              <w:t>
Туризм</w:t>
            </w:r>
          </w:p>
          <w:bookmarkEnd w:id="164"/>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количество койко-суток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cMar>
              <w:top w:w="15" w:type="dxa"/>
              <w:left w:w="15" w:type="dxa"/>
              <w:bottom w:w="15" w:type="dxa"/>
              <w:right w:w="15" w:type="dxa"/>
            </w:tcMar>
            <w:vAlign w:val="center"/>
          </w:tcPr>
          <w:bookmarkStart w:name="z173" w:id="165"/>
          <w:p>
            <w:pPr>
              <w:spacing w:after="20"/>
              <w:ind w:left="20"/>
              <w:jc w:val="both"/>
            </w:pPr>
            <w:r>
              <w:rPr>
                <w:rFonts w:ascii="Times New Roman"/>
                <w:b w:val="false"/>
                <w:i w:val="false"/>
                <w:color w:val="000000"/>
                <w:sz w:val="20"/>
              </w:rPr>
              <w:t>
Прочие услуги по организации культуры, спорта, туризма и информационного пространства</w:t>
            </w:r>
          </w:p>
          <w:bookmarkEnd w:id="16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масштаба;</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0" w:type="auto"/>
            <w:gridSpan w:val="3"/>
            <w:tcBorders/>
            <w:tcMar>
              <w:top w:w="15" w:type="dxa"/>
              <w:left w:w="15" w:type="dxa"/>
              <w:bottom w:w="15" w:type="dxa"/>
              <w:right w:w="15" w:type="dxa"/>
            </w:tcMar>
            <w:vAlign w:val="center"/>
          </w:tcPr>
          <w:bookmarkStart w:name="z174" w:id="166"/>
          <w:p>
            <w:pPr>
              <w:spacing w:after="20"/>
              <w:ind w:left="20"/>
              <w:jc w:val="both"/>
            </w:pPr>
            <w:r>
              <w:rPr>
                <w:rFonts w:ascii="Times New Roman"/>
                <w:b w:val="false"/>
                <w:i w:val="false"/>
                <w:color w:val="000000"/>
                <w:sz w:val="20"/>
              </w:rPr>
              <w:t>
</w:t>
            </w:r>
            <w:r>
              <w:rPr>
                <w:rFonts w:ascii="Times New Roman"/>
                <w:b/>
                <w:i w:val="false"/>
                <w:color w:val="000000"/>
                <w:sz w:val="20"/>
              </w:rPr>
              <w:t>10. Сельское, водное, лесное, рыбное хозяйство, особо охраняемые природные территории, охрана окружающей среды и животного мира, земельные отношения</w:t>
            </w:r>
          </w:p>
          <w:bookmarkEnd w:id="166"/>
        </w:tc>
      </w:tr>
      <w:tr>
        <w:trPr>
          <w:trHeight w:val="30" w:hRule="atLeast"/>
        </w:trPr>
        <w:tc>
          <w:tcPr>
            <w:tcW w:w="4100" w:type="dxa"/>
            <w:tcBorders/>
            <w:tcMar>
              <w:top w:w="15" w:type="dxa"/>
              <w:left w:w="15" w:type="dxa"/>
              <w:bottom w:w="15" w:type="dxa"/>
              <w:right w:w="15" w:type="dxa"/>
            </w:tcMar>
            <w:vAlign w:val="center"/>
          </w:tcPr>
          <w:bookmarkStart w:name="z175" w:id="167"/>
          <w:p>
            <w:pPr>
              <w:spacing w:after="20"/>
              <w:ind w:left="20"/>
              <w:jc w:val="both"/>
            </w:pPr>
            <w:r>
              <w:rPr>
                <w:rFonts w:ascii="Times New Roman"/>
                <w:b w:val="false"/>
                <w:i w:val="false"/>
                <w:color w:val="000000"/>
                <w:sz w:val="20"/>
              </w:rPr>
              <w:t>
Сельское хозяйство</w:t>
            </w:r>
          </w:p>
          <w:bookmarkEnd w:id="167"/>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Среднесписочная численность работников сельского хозяйства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надбавок за работу в сельской местности;</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cMar>
              <w:top w:w="15" w:type="dxa"/>
              <w:left w:w="15" w:type="dxa"/>
              <w:bottom w:w="15" w:type="dxa"/>
              <w:right w:w="15" w:type="dxa"/>
            </w:tcMar>
            <w:vAlign w:val="center"/>
          </w:tcPr>
          <w:bookmarkStart w:name="z176" w:id="168"/>
          <w:p>
            <w:pPr>
              <w:spacing w:after="20"/>
              <w:ind w:left="20"/>
              <w:jc w:val="both"/>
            </w:pPr>
            <w:r>
              <w:rPr>
                <w:rFonts w:ascii="Times New Roman"/>
                <w:b w:val="false"/>
                <w:i w:val="false"/>
                <w:color w:val="000000"/>
                <w:sz w:val="20"/>
              </w:rPr>
              <w:t>
Водное хозяйство</w:t>
            </w:r>
          </w:p>
          <w:bookmarkEnd w:id="168"/>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Водопотребление (миллион кубических метров)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cMar>
              <w:top w:w="15" w:type="dxa"/>
              <w:left w:w="15" w:type="dxa"/>
              <w:bottom w:w="15" w:type="dxa"/>
              <w:right w:w="15" w:type="dxa"/>
            </w:tcMar>
            <w:vAlign w:val="center"/>
          </w:tcPr>
          <w:bookmarkStart w:name="z177" w:id="169"/>
          <w:p>
            <w:pPr>
              <w:spacing w:after="20"/>
              <w:ind w:left="20"/>
              <w:jc w:val="both"/>
            </w:pPr>
            <w:r>
              <w:rPr>
                <w:rFonts w:ascii="Times New Roman"/>
                <w:b w:val="false"/>
                <w:i w:val="false"/>
                <w:color w:val="000000"/>
                <w:sz w:val="20"/>
              </w:rPr>
              <w:t>
Лесное хозяйство</w:t>
            </w:r>
          </w:p>
          <w:bookmarkEnd w:id="169"/>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Лесной фонд (миллион гектар)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cMar>
              <w:top w:w="15" w:type="dxa"/>
              <w:left w:w="15" w:type="dxa"/>
              <w:bottom w:w="15" w:type="dxa"/>
              <w:right w:w="15" w:type="dxa"/>
            </w:tcMar>
            <w:vAlign w:val="center"/>
          </w:tcPr>
          <w:bookmarkStart w:name="z178" w:id="170"/>
          <w:p>
            <w:pPr>
              <w:spacing w:after="20"/>
              <w:ind w:left="20"/>
              <w:jc w:val="both"/>
            </w:pPr>
            <w:r>
              <w:rPr>
                <w:rFonts w:ascii="Times New Roman"/>
                <w:b w:val="false"/>
                <w:i w:val="false"/>
                <w:color w:val="000000"/>
                <w:sz w:val="20"/>
              </w:rPr>
              <w:t>
Охрана окружающей среды</w:t>
            </w:r>
          </w:p>
          <w:bookmarkEnd w:id="170"/>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Выбросы в атмосферу загрязняющих веществ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cMar>
              <w:top w:w="15" w:type="dxa"/>
              <w:left w:w="15" w:type="dxa"/>
              <w:bottom w:w="15" w:type="dxa"/>
              <w:right w:w="15" w:type="dxa"/>
            </w:tcMar>
            <w:vAlign w:val="center"/>
          </w:tcPr>
          <w:bookmarkStart w:name="z179" w:id="171"/>
          <w:p>
            <w:pPr>
              <w:spacing w:after="20"/>
              <w:ind w:left="20"/>
              <w:jc w:val="both"/>
            </w:pPr>
            <w:r>
              <w:rPr>
                <w:rFonts w:ascii="Times New Roman"/>
                <w:b w:val="false"/>
                <w:i w:val="false"/>
                <w:color w:val="000000"/>
                <w:sz w:val="20"/>
              </w:rPr>
              <w:t>
Земельные отношения</w:t>
            </w:r>
          </w:p>
          <w:bookmarkEnd w:id="171"/>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0" w:type="auto"/>
            <w:gridSpan w:val="3"/>
            <w:tcBorders/>
            <w:tcMar>
              <w:top w:w="15" w:type="dxa"/>
              <w:left w:w="15" w:type="dxa"/>
              <w:bottom w:w="15" w:type="dxa"/>
              <w:right w:w="15" w:type="dxa"/>
            </w:tcMar>
            <w:vAlign w:val="center"/>
          </w:tcPr>
          <w:bookmarkStart w:name="z180" w:id="172"/>
          <w:p>
            <w:pPr>
              <w:spacing w:after="20"/>
              <w:ind w:left="20"/>
              <w:jc w:val="both"/>
            </w:pPr>
            <w:r>
              <w:rPr>
                <w:rFonts w:ascii="Times New Roman"/>
                <w:b w:val="false"/>
                <w:i w:val="false"/>
                <w:color w:val="000000"/>
                <w:sz w:val="20"/>
              </w:rPr>
              <w:t>
</w:t>
            </w:r>
            <w:r>
              <w:rPr>
                <w:rFonts w:ascii="Times New Roman"/>
                <w:b/>
                <w:i w:val="false"/>
                <w:color w:val="000000"/>
                <w:sz w:val="20"/>
              </w:rPr>
              <w:t>11. Промышленность, архитектурная, градостроительная и строительная деятельность</w:t>
            </w:r>
          </w:p>
          <w:bookmarkEnd w:id="172"/>
        </w:tc>
      </w:tr>
      <w:tr>
        <w:trPr>
          <w:trHeight w:val="30" w:hRule="atLeast"/>
        </w:trPr>
        <w:tc>
          <w:tcPr>
            <w:tcW w:w="4100" w:type="dxa"/>
            <w:tcBorders/>
            <w:tcMar>
              <w:top w:w="15" w:type="dxa"/>
              <w:left w:w="15" w:type="dxa"/>
              <w:bottom w:w="15" w:type="dxa"/>
              <w:right w:w="15" w:type="dxa"/>
            </w:tcMar>
            <w:vAlign w:val="center"/>
          </w:tcPr>
          <w:bookmarkStart w:name="z181" w:id="173"/>
          <w:p>
            <w:pPr>
              <w:spacing w:after="20"/>
              <w:ind w:left="20"/>
              <w:jc w:val="both"/>
            </w:pPr>
            <w:r>
              <w:rPr>
                <w:rFonts w:ascii="Times New Roman"/>
                <w:b w:val="false"/>
                <w:i w:val="false"/>
                <w:color w:val="000000"/>
                <w:sz w:val="20"/>
              </w:rPr>
              <w:t>
Архитектурная, градостроительная и строительная деятельность</w:t>
            </w:r>
          </w:p>
          <w:bookmarkEnd w:id="173"/>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плотности;</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0" w:type="auto"/>
            <w:gridSpan w:val="3"/>
            <w:tcBorders/>
            <w:tcMar>
              <w:top w:w="15" w:type="dxa"/>
              <w:left w:w="15" w:type="dxa"/>
              <w:bottom w:w="15" w:type="dxa"/>
              <w:right w:w="15" w:type="dxa"/>
            </w:tcMar>
            <w:vAlign w:val="center"/>
          </w:tcPr>
          <w:bookmarkStart w:name="z182" w:id="174"/>
          <w:p>
            <w:pPr>
              <w:spacing w:after="20"/>
              <w:ind w:left="20"/>
              <w:jc w:val="both"/>
            </w:pPr>
            <w:r>
              <w:rPr>
                <w:rFonts w:ascii="Times New Roman"/>
                <w:b w:val="false"/>
                <w:i w:val="false"/>
                <w:color w:val="000000"/>
                <w:sz w:val="20"/>
              </w:rPr>
              <w:t>
</w:t>
            </w:r>
            <w:r>
              <w:rPr>
                <w:rFonts w:ascii="Times New Roman"/>
                <w:b/>
                <w:i w:val="false"/>
                <w:color w:val="000000"/>
                <w:sz w:val="20"/>
              </w:rPr>
              <w:t>12. Транспорт и коммуникации</w:t>
            </w:r>
          </w:p>
          <w:bookmarkEnd w:id="174"/>
        </w:tc>
      </w:tr>
      <w:tr>
        <w:trPr>
          <w:trHeight w:val="30" w:hRule="atLeast"/>
        </w:trPr>
        <w:tc>
          <w:tcPr>
            <w:tcW w:w="4100" w:type="dxa"/>
            <w:tcBorders/>
            <w:tcMar>
              <w:top w:w="15" w:type="dxa"/>
              <w:left w:w="15" w:type="dxa"/>
              <w:bottom w:w="15" w:type="dxa"/>
              <w:right w:w="15" w:type="dxa"/>
            </w:tcMar>
            <w:vAlign w:val="center"/>
          </w:tcPr>
          <w:bookmarkStart w:name="z183" w:id="175"/>
          <w:p>
            <w:pPr>
              <w:spacing w:after="20"/>
              <w:ind w:left="20"/>
              <w:jc w:val="both"/>
            </w:pPr>
            <w:r>
              <w:rPr>
                <w:rFonts w:ascii="Times New Roman"/>
                <w:b w:val="false"/>
                <w:i w:val="false"/>
                <w:color w:val="000000"/>
                <w:sz w:val="20"/>
              </w:rPr>
              <w:t>
Автомобильный транспорт</w:t>
            </w:r>
          </w:p>
          <w:bookmarkEnd w:id="175"/>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автодорог местного значения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содержания дорог;</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cMar>
              <w:top w:w="15" w:type="dxa"/>
              <w:left w:w="15" w:type="dxa"/>
              <w:bottom w:w="15" w:type="dxa"/>
              <w:right w:w="15" w:type="dxa"/>
            </w:tcMar>
            <w:vAlign w:val="center"/>
          </w:tcPr>
          <w:bookmarkStart w:name="z184" w:id="176"/>
          <w:p>
            <w:pPr>
              <w:spacing w:after="20"/>
              <w:ind w:left="20"/>
              <w:jc w:val="both"/>
            </w:pPr>
            <w:r>
              <w:rPr>
                <w:rFonts w:ascii="Times New Roman"/>
                <w:b w:val="false"/>
                <w:i w:val="false"/>
                <w:color w:val="000000"/>
                <w:sz w:val="20"/>
              </w:rPr>
              <w:t>
Прочие услуги в сфере транспорта и коммуникаций</w:t>
            </w:r>
          </w:p>
          <w:bookmarkEnd w:id="176"/>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Пассажирооборот (миллион пассажиро-километров)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урбанизации;</w:t>
            </w:r>
          </w:p>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0" w:type="auto"/>
            <w:gridSpan w:val="3"/>
            <w:tcBorders/>
            <w:tcMar>
              <w:top w:w="15" w:type="dxa"/>
              <w:left w:w="15" w:type="dxa"/>
              <w:bottom w:w="15" w:type="dxa"/>
              <w:right w:w="15" w:type="dxa"/>
            </w:tcMar>
            <w:vAlign w:val="center"/>
          </w:tcPr>
          <w:bookmarkStart w:name="z185" w:id="177"/>
          <w:p>
            <w:pPr>
              <w:spacing w:after="20"/>
              <w:ind w:left="20"/>
              <w:jc w:val="both"/>
            </w:pPr>
            <w:r>
              <w:rPr>
                <w:rFonts w:ascii="Times New Roman"/>
                <w:b w:val="false"/>
                <w:i w:val="false"/>
                <w:color w:val="000000"/>
                <w:sz w:val="20"/>
              </w:rPr>
              <w:t>
</w:t>
            </w:r>
            <w:r>
              <w:rPr>
                <w:rFonts w:ascii="Times New Roman"/>
                <w:b/>
                <w:i w:val="false"/>
                <w:color w:val="000000"/>
                <w:sz w:val="20"/>
              </w:rPr>
              <w:t>13. Прочие</w:t>
            </w:r>
          </w:p>
          <w:bookmarkEnd w:id="177"/>
        </w:tc>
      </w:tr>
      <w:tr>
        <w:trPr>
          <w:trHeight w:val="30" w:hRule="atLeast"/>
        </w:trPr>
        <w:tc>
          <w:tcPr>
            <w:tcW w:w="4100" w:type="dxa"/>
            <w:tcBorders/>
            <w:tcMar>
              <w:top w:w="15" w:type="dxa"/>
              <w:left w:w="15" w:type="dxa"/>
              <w:bottom w:w="15" w:type="dxa"/>
              <w:right w:w="15" w:type="dxa"/>
            </w:tcMar>
            <w:vAlign w:val="center"/>
          </w:tcPr>
          <w:bookmarkStart w:name="z186" w:id="178"/>
          <w:p>
            <w:pPr>
              <w:spacing w:after="20"/>
              <w:ind w:left="20"/>
              <w:jc w:val="both"/>
            </w:pPr>
            <w:r>
              <w:rPr>
                <w:rFonts w:ascii="Times New Roman"/>
                <w:b w:val="false"/>
                <w:i w:val="false"/>
                <w:color w:val="000000"/>
                <w:sz w:val="20"/>
              </w:rPr>
              <w:t>
Регулирование экономической деятельности</w:t>
            </w:r>
          </w:p>
          <w:bookmarkEnd w:id="178"/>
        </w:tc>
        <w:tc>
          <w:tcPr>
            <w:tcW w:w="4100"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постоянного населения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cMar>
              <w:top w:w="15" w:type="dxa"/>
              <w:left w:w="15" w:type="dxa"/>
              <w:bottom w:w="15" w:type="dxa"/>
              <w:right w:w="15" w:type="dxa"/>
            </w:tcMar>
            <w:vAlign w:val="center"/>
          </w:tcPr>
          <w:bookmarkStart w:name="z187" w:id="179"/>
          <w:p>
            <w:pPr>
              <w:spacing w:after="20"/>
              <w:ind w:left="20"/>
              <w:jc w:val="both"/>
            </w:pPr>
            <w:r>
              <w:rPr>
                <w:rFonts w:ascii="Times New Roman"/>
                <w:b w:val="false"/>
                <w:i w:val="false"/>
                <w:color w:val="000000"/>
                <w:sz w:val="20"/>
              </w:rPr>
              <w:t>
Поддержка предпринимательской деятельности и защита конкуренции</w:t>
            </w:r>
          </w:p>
          <w:bookmarkEnd w:id="179"/>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cMar>
              <w:top w:w="15" w:type="dxa"/>
              <w:left w:w="15" w:type="dxa"/>
              <w:bottom w:w="15" w:type="dxa"/>
              <w:right w:w="15" w:type="dxa"/>
            </w:tcMar>
            <w:vAlign w:val="center"/>
          </w:tcPr>
          <w:bookmarkStart w:name="z188" w:id="180"/>
          <w:p>
            <w:pPr>
              <w:spacing w:after="20"/>
              <w:ind w:left="20"/>
              <w:jc w:val="both"/>
            </w:pPr>
            <w:r>
              <w:rPr>
                <w:rFonts w:ascii="Times New Roman"/>
                <w:b w:val="false"/>
                <w:i w:val="false"/>
                <w:color w:val="000000"/>
                <w:sz w:val="20"/>
              </w:rPr>
              <w:t>
Регулирование естественных монополий</w:t>
            </w:r>
          </w:p>
          <w:bookmarkEnd w:id="180"/>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r>
        <w:trPr>
          <w:trHeight w:val="30" w:hRule="atLeast"/>
        </w:trPr>
        <w:tc>
          <w:tcPr>
            <w:tcW w:w="4100" w:type="dxa"/>
            <w:tcBorders/>
            <w:tcMar>
              <w:top w:w="15" w:type="dxa"/>
              <w:left w:w="15" w:type="dxa"/>
              <w:bottom w:w="15" w:type="dxa"/>
              <w:right w:w="15" w:type="dxa"/>
            </w:tcMar>
            <w:vAlign w:val="center"/>
          </w:tcPr>
          <w:bookmarkStart w:name="z189" w:id="181"/>
          <w:p>
            <w:pPr>
              <w:spacing w:after="20"/>
              <w:ind w:left="20"/>
              <w:jc w:val="both"/>
            </w:pPr>
            <w:r>
              <w:rPr>
                <w:rFonts w:ascii="Times New Roman"/>
                <w:b w:val="false"/>
                <w:i w:val="false"/>
                <w:color w:val="000000"/>
                <w:sz w:val="20"/>
              </w:rPr>
              <w:t>
Прочее</w:t>
            </w:r>
          </w:p>
          <w:bookmarkEnd w:id="181"/>
        </w:tc>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продолжительности отопительного сезона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3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header.xml" Type="http://schemas.openxmlformats.org/officeDocument/2006/relationships/header" Id="rId3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