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6864" w14:textId="8116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12 февраля 2018 года № 30-нқ. Зарегистрирован в Министерстве юстиции Республики Казахстан 22 февраля 2018 года № 16415.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9 декабря 2022 года № 227-нқ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(зарегистрированный в Реестре государственной регистрации нормативных правовых актов за № 16073, опубликованный в эталонном контрольном банке нормативных правовых актов Республики Казахстан от 20 декабря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сметной стоимости строительства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Сметная заработная плата определяется с учетом норм трудового законодательства Республики Казахстан и по данным государственной статистики.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объектам, строительство которых планируется осуществить силами организаций нефтегазового комплекса, пятьдесят и более процентов голосующих акций (долей участия) которых прямо или косвенно принадлежат Фонду национального благосостояния путем выбора поставщика способом из одного источника в соответствии с правилами, утверждаемыми советом директоров Фонда национального благосостояния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Фонде национального благосостояния", сметная заработная плата определяется на основе тарифной сетки рабочих профессий в соответствии с внутренними документами организаций, пятьдесят и более процентов голосующих акций (долей участия) которых прямо или косвенно принадлежат Фонду национального благосостояния.".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делам строительства и жилищно-коммунального хозяйства Министерства по инвестициям и развитию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жилищно-коммунального хозяйства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по инвестициям и развитию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строительства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по инвестициям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