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62c5" w14:textId="ab1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октября 2017 года № 16-3. Зарегистрировано Департаментом юстиции Западно-Казахстанской области 13 ноября 2017 года № 4952. Утратило силу решением Чингирлауского районного маслихата Западно-Казахстанской области от 25 ноября 2022 года № 33-1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 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(С.Шагирову)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 года № 16-3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Чингирлаускому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Чингирлауского районного маслихата Западно-Казахстанской области от 06.01.2021 </w:t>
      </w:r>
      <w:r>
        <w:rPr>
          <w:rFonts w:ascii="Times New Roman"/>
          <w:b w:val="false"/>
          <w:i w:val="false"/>
          <w:color w:val="ff0000"/>
          <w:sz w:val="28"/>
        </w:rPr>
        <w:t>№ 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лечебно–профилактические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квадратный;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