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9d3fa4" w14:textId="29d3fa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Плана по управлению пастбищами и их использованию по Сырымскому району на 2018-2019 годы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Сырымского районного маслихата Западно-Казахстанской области от 27 декабря 2017 года № 22-2. Зарегистрировано Департаментом юстиции Западно-Казахстанской области 18 января 2018 года № 5044. Утратило силу решением Сырымского районного маслихата Западно-Казахстанской области от 19 октября 2018 года № 32-2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решением Сырымского районного маслихата Западно-Казахстанской области от 19.10.2018 </w:t>
      </w:r>
      <w:r>
        <w:rPr>
          <w:rFonts w:ascii="Times New Roman"/>
          <w:b w:val="false"/>
          <w:i w:val="false"/>
          <w:color w:val="ff0000"/>
          <w:sz w:val="28"/>
        </w:rPr>
        <w:t>№ 32-2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опубликования).</w:t>
      </w:r>
    </w:p>
    <w:bookmarkStart w:name="z3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Законами Республики Казахстан от 20 февраля 2017 года </w:t>
      </w:r>
      <w:r>
        <w:rPr>
          <w:rFonts w:ascii="Times New Roman"/>
          <w:b w:val="false"/>
          <w:i w:val="false"/>
          <w:color w:val="000000"/>
          <w:sz w:val="28"/>
        </w:rPr>
        <w:t>"О пастбищах"</w:t>
      </w:r>
      <w:r>
        <w:rPr>
          <w:rFonts w:ascii="Times New Roman"/>
          <w:b w:val="false"/>
          <w:i w:val="false"/>
          <w:color w:val="000000"/>
          <w:sz w:val="28"/>
        </w:rPr>
        <w:t xml:space="preserve"> и от 23 января 2001 года </w:t>
      </w:r>
      <w:r>
        <w:rPr>
          <w:rFonts w:ascii="Times New Roman"/>
          <w:b w:val="false"/>
          <w:i w:val="false"/>
          <w:color w:val="000000"/>
          <w:sz w:val="28"/>
        </w:rPr>
        <w:t>"О местном государственном управлении и самоуправлении в Республике Казахстан"</w:t>
      </w:r>
      <w:r>
        <w:rPr>
          <w:rFonts w:ascii="Times New Roman"/>
          <w:b w:val="false"/>
          <w:i w:val="false"/>
          <w:color w:val="000000"/>
          <w:sz w:val="28"/>
        </w:rPr>
        <w:t xml:space="preserve"> районный маслихат </w:t>
      </w:r>
      <w:r>
        <w:rPr>
          <w:rFonts w:ascii="Times New Roman"/>
          <w:b/>
          <w:i w:val="false"/>
          <w:color w:val="000000"/>
          <w:sz w:val="28"/>
        </w:rPr>
        <w:t>РЕШИЛ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 Утвердить </w:t>
      </w:r>
      <w:r>
        <w:rPr>
          <w:rFonts w:ascii="Times New Roman"/>
          <w:b w:val="false"/>
          <w:i w:val="false"/>
          <w:color w:val="000000"/>
          <w:sz w:val="28"/>
        </w:rPr>
        <w:t>План</w:t>
      </w:r>
      <w:r>
        <w:rPr>
          <w:rFonts w:ascii="Times New Roman"/>
          <w:b w:val="false"/>
          <w:i w:val="false"/>
          <w:color w:val="000000"/>
          <w:sz w:val="28"/>
        </w:rPr>
        <w:t xml:space="preserve"> по управлению пастбищами и их использованию по Сырымскому району на 2018-2019 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End w:id="1"/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 Главному специалисту аппарата Сырымского районного маслихата (А.Орашева) обеспечить государственную регистрацию настоящего решения в органах юстиции, его официальное опубликование в Эталонном контрольном банке нормативных правовых актов Республики Казахстан и в средствах массовой информации.</w:t>
      </w:r>
    </w:p>
    <w:bookmarkEnd w:id="2"/>
    <w:bookmarkStart w:name="z6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 Настоящее решение вводится в действие с 1 января 2018 года.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95"/>
        <w:gridCol w:w="4205"/>
      </w:tblGrid>
      <w:tr>
        <w:trPr>
          <w:trHeight w:val="30" w:hRule="atLeast"/>
        </w:trPr>
        <w:tc>
          <w:tcPr>
            <w:tcW w:w="77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Председатель сессии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20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Т.Даргужиев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77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Секретарь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20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Ш.Дуйсенгалиева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решением Сырымского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27 декабря 2017 года №22-2</w:t>
            </w:r>
          </w:p>
        </w:tc>
      </w:tr>
    </w:tbl>
    <w:bookmarkStart w:name="z8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План по управлению пастбищами и их использованию по Сырымскому району на 2018-2019 годы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Настоящий План по управлению пастбищами и их использованию по Сырымскому району на 2018-2019 годы (далее – План) разработан в соответствии с Законами Республики Казахстан от 20 февраля 2017 года </w:t>
      </w:r>
      <w:r>
        <w:rPr>
          <w:rFonts w:ascii="Times New Roman"/>
          <w:b w:val="false"/>
          <w:i w:val="false"/>
          <w:color w:val="000000"/>
          <w:sz w:val="28"/>
        </w:rPr>
        <w:t>"О пастбищах"</w:t>
      </w:r>
      <w:r>
        <w:rPr>
          <w:rFonts w:ascii="Times New Roman"/>
          <w:b w:val="false"/>
          <w:i w:val="false"/>
          <w:color w:val="000000"/>
          <w:sz w:val="28"/>
        </w:rPr>
        <w:t xml:space="preserve">, от 23 января 2001 года </w:t>
      </w:r>
      <w:r>
        <w:rPr>
          <w:rFonts w:ascii="Times New Roman"/>
          <w:b w:val="false"/>
          <w:i w:val="false"/>
          <w:color w:val="000000"/>
          <w:sz w:val="28"/>
        </w:rPr>
        <w:t>"О местном государственном управлении и самоуправлении в Республике Казахстан"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Заместителя Премьер-Министра Республики Казахстан - Министра сельского хозяйства Республики Казахстан от 24 апреля 2017 года № 173 "Об утверждении Правил рационального использования пастбищ" (зарегистрирован в Министерстве юстиции Республики Казахстан 28 апреля 2017 года № 15090),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сельского хозяйства Республики Казахстан от 14 апреля 2015 года № 3-3/332 "Об утверждении предельно допустимой нормы нагрузки на общую площадь пастбищ" (зарегистрирован в Министерстве юстиции Республики Казахстан 15 мая 2015 года № 11064).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принимается в целях рационального использования пастбищ, устойчивого обеспечения потребности в кормах и предотвращения процессов деградации пастбищ.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содержит: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 схему (карту) расположения пастбищ на территории административно-территориальной единицы в разрезе категорий земель, собственников земельных участков и землепользователей на основании правоустанавливающих документов,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 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Плану;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 приемлемые схемы пастбищеоборотов,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 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Плану;</w:t>
      </w:r>
    </w:p>
    <w:bookmarkEnd w:id="9"/>
    <w:bookmarkStart w:name="z1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 карту с обозначением внешних и внутренних границ и площадей пастбищ, в том числе сезонных, объектов пастбищной инфраструктуры,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 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Плану;</w:t>
      </w:r>
    </w:p>
    <w:bookmarkEnd w:id="10"/>
    <w:bookmarkStart w:name="z1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 схему доступа пастбищепользователей к водоисточникам (озерам, рекам, прудам, копаням, оросительным или обводнительным каналам, трубчатым или шахтным колодцам), составленную согласно норме потребления воды,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 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Плану;</w:t>
      </w:r>
    </w:p>
    <w:bookmarkEnd w:id="11"/>
    <w:bookmarkStart w:name="z16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 схему перераспределения пастбищ для размещения поголовья сельскохозяйственных животных физических и (или) юридических лиц, у которых отсутствуют пастбища, и перемещения его на предоставляемые пастбища,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 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Плану;</w:t>
      </w:r>
    </w:p>
    <w:bookmarkEnd w:id="12"/>
    <w:bookmarkStart w:name="z17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 схему размещения поголовья сельскохозяйственных животных на отгонных пастбищах физических и (или) юридических лиц, не обеспеченных пастбищами, расположенными при селе, сельском округе,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 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Плану;</w:t>
      </w:r>
    </w:p>
    <w:bookmarkEnd w:id="13"/>
    <w:bookmarkStart w:name="z18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календарный график по использованию пастбищ, устанавливающий сезонные маршруты выпаса и передвижения сельскохозяйственных животных,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 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Плану;</w:t>
      </w:r>
    </w:p>
    <w:bookmarkEnd w:id="14"/>
    <w:bookmarkStart w:name="z19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 иные требования, необходимые для рационального использования пастбищ на соответствующей административно-территориальной единице.</w:t>
      </w:r>
    </w:p>
    <w:bookmarkEnd w:id="15"/>
    <w:bookmarkStart w:name="z20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принят с учетом сведений о состоянии геоботанического обследования пастбищ, сведений о ветеринарно-санитарных объектах, данных о численности поголовья сельскохозяйственных животных с указанием их владельцев – пастбищепользователей, физических и (или) юридических лиц, данных о количестве гуртов, отар, табунов, сформированных по видам и половозрастным группам сельскохозяйственных животных, сведений о формировании поголовья сельскохозяйственных животных для выпаса на отгонных пастбищах, особенностей выпаса сельскохозяйственных животных на культурных и аридных пастбищах, сведений о сервитутах для прогона скота и иных данных, предоставленных государственными органами, физическими и (или) юридическими лицами.</w:t>
      </w:r>
    </w:p>
    <w:bookmarkEnd w:id="16"/>
    <w:bookmarkStart w:name="z21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административно-территориальному делению в Сырымском районе имеются 12 сельских округов, 38 сельских населенных пунктов.</w:t>
      </w:r>
    </w:p>
    <w:bookmarkEnd w:id="17"/>
    <w:bookmarkStart w:name="z22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Общая площадь территории Сырымского района 1 188 843 га, из них пастбищные земли – 895 671 га, орошаемые земли – 29 897 га.</w:t>
      </w:r>
    </w:p>
    <w:bookmarkEnd w:id="18"/>
    <w:bookmarkStart w:name="z23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категориям земли подразделяются на:</w:t>
      </w:r>
    </w:p>
    <w:bookmarkEnd w:id="19"/>
    <w:bookmarkStart w:name="z24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земли сельскохозяйственного назначения – 620 241 га;</w:t>
      </w:r>
    </w:p>
    <w:bookmarkEnd w:id="20"/>
    <w:bookmarkStart w:name="z25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земли населенных пунктов – 140 017 га;</w:t>
      </w:r>
    </w:p>
    <w:bookmarkEnd w:id="21"/>
    <w:bookmarkStart w:name="z26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земли промышленности, транспорта, связи, для нужд космической деятельности, обороны, национальной безопасности и иного несельскохозяйственного назначения – 1 794 га;</w:t>
      </w:r>
    </w:p>
    <w:bookmarkEnd w:id="22"/>
    <w:bookmarkStart w:name="z27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земли водного фонда – 37 га;</w:t>
      </w:r>
    </w:p>
    <w:bookmarkEnd w:id="23"/>
    <w:bookmarkStart w:name="z28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земли лесного фонда – 5 103 га;</w:t>
      </w:r>
    </w:p>
    <w:bookmarkEnd w:id="24"/>
    <w:bookmarkStart w:name="z29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земли запаса – 421 651 га.</w:t>
      </w:r>
    </w:p>
    <w:bookmarkEnd w:id="25"/>
    <w:bookmarkStart w:name="z30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Климат района резко континентальный, зима сравнительно холодная, лето жаркое и засушливое. Среднегодовая температура воздуха в январе – -14; -35°С, в июле +24; +38°С. Средний размер осадков составляет -30 мм, а годовой – 214 мм.</w:t>
      </w:r>
    </w:p>
    <w:bookmarkEnd w:id="26"/>
    <w:bookmarkStart w:name="z31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Растительный покров района разнообразный, включает примерно 118 видов. Самые распространенные из них зерновые и астроцветные травы.</w:t>
      </w:r>
    </w:p>
    <w:bookmarkEnd w:id="27"/>
    <w:bookmarkStart w:name="z32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Почвы светлокаштановые, на юге встречаются солончаковые земли. Толщина плодородной почвы 40-50 см.</w:t>
      </w:r>
    </w:p>
    <w:bookmarkEnd w:id="28"/>
    <w:bookmarkStart w:name="z33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районе действуют 10 ветеринарных пунктов, 15 для купания животных, 8 пунктов для искусственного осеменения и 36 скотомогильников.</w:t>
      </w:r>
    </w:p>
    <w:bookmarkEnd w:id="29"/>
    <w:bookmarkStart w:name="z34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настоящее время в Сырымском районе насчитывается 49 141 голов крупного рогатого скота, 115 715 голов мелкого рогатого скота, 16695 голов лошадей, 54 голов верблюдов и 18 190 птиц.</w:t>
      </w:r>
    </w:p>
    <w:bookmarkEnd w:id="30"/>
    <w:bookmarkStart w:name="z35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обеспечения сельскохозяйственных животных по Сырымскому району имеются всего 895 671 га пастбищных угодий. В черте населенного пункта числится 129 874 га пастбищ, в землях запаса имеются 264 542 га пастбищных угодий.</w:t>
      </w:r>
    </w:p>
    <w:bookmarkEnd w:id="31"/>
    <w:bookmarkStart w:name="z36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некоторых сельских округах в связи с ростом поголовья скота на личных подворьях ощущается недостаток 435 973 га пастбищных угодий, также крестьянским хозяйствам нужно дополнительно 457 641 га, всего 893 614 га пастбищных угодий.</w:t>
      </w:r>
    </w:p>
    <w:bookmarkEnd w:id="32"/>
    <w:bookmarkStart w:name="z37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решения этих проблем необходимо рационально выделить пастбищные угодья из государственного фонда и увеличить площади пастбищ за счет земель населенных пунктов, сельскохозяйственного назначения и земель запаса Сырымского района.</w:t>
      </w:r>
    </w:p>
    <w:bookmarkEnd w:id="33"/>
    <w:bookmarkStart w:name="z38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Также, для обеспечения ветеринарно-санитарными объектами запланировать строительство мест для купания животных по району, строительство пунктов искусственного осеменения в Алгабасском, Аралтобинском, Буланском, Булдуртинском, Жетыкульском, Елтайском и Талдыбулакском сельских округах.</w:t>
      </w:r>
    </w:p>
    <w:bookmarkEnd w:id="3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 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Сырымскому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 годы</w:t>
            </w:r>
          </w:p>
        </w:tc>
      </w:tr>
    </w:tbl>
    <w:bookmarkStart w:name="z40" w:id="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</w:t>
      </w:r>
      <w:r>
        <w:br/>
      </w:r>
      <w:r>
        <w:rPr>
          <w:rFonts w:ascii="Times New Roman"/>
          <w:b/>
          <w:i w:val="false"/>
          <w:color w:val="000000"/>
        </w:rPr>
        <w:t>расположения пастбищ на территории административно – территориальной единицы в разрезе категорий земель, собственников земельных участков и землепользователей на основании правоустанавливающих документов</w:t>
      </w:r>
    </w:p>
    <w:bookmarkEnd w:id="35"/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10883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88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 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Сырымскому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 годы</w:t>
            </w:r>
          </w:p>
        </w:tc>
      </w:tr>
    </w:tbl>
    <w:bookmarkStart w:name="z42" w:id="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Приемлемые схемы пастбищеоборотов</w:t>
      </w:r>
    </w:p>
    <w:bookmarkEnd w:id="36"/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11010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101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 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Сырымскому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 годы</w:t>
            </w:r>
          </w:p>
        </w:tc>
      </w:tr>
    </w:tbl>
    <w:bookmarkStart w:name="z44" w:id="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</w:t>
      </w:r>
      <w:r>
        <w:br/>
      </w:r>
      <w:r>
        <w:rPr>
          <w:rFonts w:ascii="Times New Roman"/>
          <w:b/>
          <w:i w:val="false"/>
          <w:color w:val="000000"/>
        </w:rPr>
        <w:t>с обозначением внешних и внутренних границ и площадей пастбищ, в том числе сезонных, объектов пастбищной инфраструктуры</w:t>
      </w:r>
    </w:p>
    <w:bookmarkEnd w:id="37"/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10858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85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 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Сырымскому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на 2018-2019 годы </w:t>
            </w:r>
          </w:p>
        </w:tc>
      </w:tr>
    </w:tbl>
    <w:bookmarkStart w:name="z46" w:id="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</w:t>
      </w:r>
      <w:r>
        <w:br/>
      </w:r>
      <w:r>
        <w:rPr>
          <w:rFonts w:ascii="Times New Roman"/>
          <w:b/>
          <w:i w:val="false"/>
          <w:color w:val="000000"/>
        </w:rPr>
        <w:t>доступа пастбищепользователей к водоисточникам</w:t>
      </w:r>
      <w:r>
        <w:br/>
      </w:r>
      <w:r>
        <w:rPr>
          <w:rFonts w:ascii="Times New Roman"/>
          <w:b/>
          <w:i w:val="false"/>
          <w:color w:val="000000"/>
        </w:rPr>
        <w:t>(озерам, рекам, прудам, копаням, оросительным или обводнительным каналам, трубчатым или шахтным колодцам), составленную согласно норме потребления воды</w:t>
      </w:r>
    </w:p>
    <w:bookmarkEnd w:id="38"/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11023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102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 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Сырымскому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 годы</w:t>
            </w:r>
          </w:p>
        </w:tc>
      </w:tr>
    </w:tbl>
    <w:bookmarkStart w:name="z48" w:id="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</w:t>
      </w:r>
      <w:r>
        <w:br/>
      </w:r>
      <w:r>
        <w:rPr>
          <w:rFonts w:ascii="Times New Roman"/>
          <w:b/>
          <w:i w:val="false"/>
          <w:color w:val="000000"/>
        </w:rPr>
        <w:t>перераспределения пастбищ для размещения поголовья сельскохозяйственных животных физических и (или) юридических лиц, у которых отсутствуют пастбища, и перемещения его на предоставляемые пастбища</w:t>
      </w:r>
    </w:p>
    <w:bookmarkEnd w:id="39"/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10998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99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 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Сырымскому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 годы</w:t>
            </w:r>
          </w:p>
        </w:tc>
      </w:tr>
    </w:tbl>
    <w:bookmarkStart w:name="z50" w:id="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</w:t>
      </w:r>
      <w:r>
        <w:br/>
      </w:r>
      <w:r>
        <w:rPr>
          <w:rFonts w:ascii="Times New Roman"/>
          <w:b/>
          <w:i w:val="false"/>
          <w:color w:val="000000"/>
        </w:rPr>
        <w:t>размещения поголовья сельскохозяйственных животных на отгонных пастбищах физических и (или) юридических лиц, не обеспеченных пастбищами, расположенными при селе, сельском округе</w:t>
      </w:r>
    </w:p>
    <w:bookmarkEnd w:id="40"/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11023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102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 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Сырымскому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2018-2019 годы</w:t>
            </w:r>
          </w:p>
        </w:tc>
      </w:tr>
    </w:tbl>
    <w:bookmarkStart w:name="z52" w:id="4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Календарный график</w:t>
      </w:r>
      <w:r>
        <w:br/>
      </w:r>
      <w:r>
        <w:rPr>
          <w:rFonts w:ascii="Times New Roman"/>
          <w:b/>
          <w:i w:val="false"/>
          <w:color w:val="000000"/>
        </w:rPr>
        <w:t>по использованию пастбищ, устанавливающий сезонные маршруты выпаса и передвижения сельскохозяйственных животных</w:t>
      </w:r>
    </w:p>
    <w:bookmarkEnd w:id="4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2864"/>
        <w:gridCol w:w="1845"/>
        <w:gridCol w:w="3385"/>
        <w:gridCol w:w="3386"/>
        <w:gridCol w:w="820"/>
      </w:tblGrid>
      <w:tr>
        <w:trPr>
          <w:trHeight w:val="30" w:hRule="atLeast"/>
        </w:trPr>
        <w:tc>
          <w:tcPr>
            <w:tcW w:w="28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8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сельского округа</w:t>
            </w:r>
          </w:p>
        </w:tc>
        <w:tc>
          <w:tcPr>
            <w:tcW w:w="33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 отгона животных на отдаленные пастбища</w:t>
            </w:r>
          </w:p>
        </w:tc>
        <w:tc>
          <w:tcPr>
            <w:tcW w:w="33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 отгона животных с отдаленных пастбищ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28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8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Алгабасский</w:t>
            </w:r>
          </w:p>
        </w:tc>
        <w:tc>
          <w:tcPr>
            <w:tcW w:w="33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Первая половина апреля</w:t>
            </w:r>
          </w:p>
        </w:tc>
        <w:tc>
          <w:tcPr>
            <w:tcW w:w="33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Вторая декада ноября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28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Аралтобинский</w:t>
            </w:r>
          </w:p>
        </w:tc>
        <w:tc>
          <w:tcPr>
            <w:tcW w:w="33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Первая половина апреля</w:t>
            </w:r>
          </w:p>
        </w:tc>
        <w:tc>
          <w:tcPr>
            <w:tcW w:w="33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Вторая декада ноября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28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8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Буланский</w:t>
            </w:r>
          </w:p>
        </w:tc>
        <w:tc>
          <w:tcPr>
            <w:tcW w:w="33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Первая половина апреля</w:t>
            </w:r>
          </w:p>
        </w:tc>
        <w:tc>
          <w:tcPr>
            <w:tcW w:w="33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Вторая декада ноября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28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8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Булдуртинский</w:t>
            </w:r>
          </w:p>
        </w:tc>
        <w:tc>
          <w:tcPr>
            <w:tcW w:w="33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Первая половина апреля</w:t>
            </w:r>
          </w:p>
        </w:tc>
        <w:tc>
          <w:tcPr>
            <w:tcW w:w="33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Вторая декада ноября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28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8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Елтайский</w:t>
            </w:r>
          </w:p>
        </w:tc>
        <w:tc>
          <w:tcPr>
            <w:tcW w:w="33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Первая половина апреля</w:t>
            </w:r>
          </w:p>
        </w:tc>
        <w:tc>
          <w:tcPr>
            <w:tcW w:w="33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Вторая декада ноября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28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8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Жымпитинский</w:t>
            </w:r>
          </w:p>
        </w:tc>
        <w:tc>
          <w:tcPr>
            <w:tcW w:w="33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Первая половина апреля</w:t>
            </w:r>
          </w:p>
        </w:tc>
        <w:tc>
          <w:tcPr>
            <w:tcW w:w="33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Вторая декада ноября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28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8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Жосалинский</w:t>
            </w:r>
          </w:p>
        </w:tc>
        <w:tc>
          <w:tcPr>
            <w:tcW w:w="33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Первая половина апреля</w:t>
            </w:r>
          </w:p>
        </w:tc>
        <w:tc>
          <w:tcPr>
            <w:tcW w:w="33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Вторая декада ноября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28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Жетыкульский</w:t>
            </w:r>
          </w:p>
        </w:tc>
        <w:tc>
          <w:tcPr>
            <w:tcW w:w="33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Первая половина апреля</w:t>
            </w:r>
          </w:p>
        </w:tc>
        <w:tc>
          <w:tcPr>
            <w:tcW w:w="33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Вторая декада ноября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28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8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Кособинский</w:t>
            </w:r>
          </w:p>
        </w:tc>
        <w:tc>
          <w:tcPr>
            <w:tcW w:w="33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Первая половина апреля</w:t>
            </w:r>
          </w:p>
        </w:tc>
        <w:tc>
          <w:tcPr>
            <w:tcW w:w="33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Вторая декада ноября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28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8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Саройский</w:t>
            </w:r>
          </w:p>
        </w:tc>
        <w:tc>
          <w:tcPr>
            <w:tcW w:w="33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Первая половина апреля</w:t>
            </w:r>
          </w:p>
        </w:tc>
        <w:tc>
          <w:tcPr>
            <w:tcW w:w="33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Вторая декада ноября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28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8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Талдыбулакский</w:t>
            </w:r>
          </w:p>
        </w:tc>
        <w:tc>
          <w:tcPr>
            <w:tcW w:w="33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Первая половина апреля</w:t>
            </w:r>
          </w:p>
        </w:tc>
        <w:tc>
          <w:tcPr>
            <w:tcW w:w="33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Вторая декада ноября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28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8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Шолаканкатинский</w:t>
            </w:r>
          </w:p>
        </w:tc>
        <w:tc>
          <w:tcPr>
            <w:tcW w:w="33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Первая половина апреля</w:t>
            </w:r>
          </w:p>
        </w:tc>
        <w:tc>
          <w:tcPr>
            <w:tcW w:w="33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Вторая декада ноября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53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Длительность пастбищного периода связана с почвенно-климатической зоной, видами сельскохозяйственных животных, а также урожайностью пастбищ в умеренно сухих на ковыльно – типчаково – полынных степях – составляет 180-200 дней.</w:t>
      </w:r>
    </w:p>
    <w:bookmarkEnd w:id="42"/>
    <w:bookmarkStart w:name="z54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данном случае продолжительность выпаса для крупного рогатого скота, мелкого рогатого скота, лошадей и верблюдов связана с максимальной глубиной снежного покрова с плотностью снега и другими факторами.</w:t>
      </w:r>
    </w:p>
    <w:bookmarkEnd w:id="43"/>
    <w:bookmarkStart w:name="z55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расшифровка аббревиатур:</w:t>
      </w:r>
    </w:p>
    <w:bookmarkEnd w:id="44"/>
    <w:bookmarkStart w:name="z56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С° – показатель Цельсия;</w:t>
      </w:r>
    </w:p>
    <w:bookmarkEnd w:id="45"/>
    <w:bookmarkStart w:name="z57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га – гектар;</w:t>
      </w:r>
    </w:p>
    <w:bookmarkEnd w:id="46"/>
    <w:bookmarkStart w:name="z58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мм - миллиметр;</w:t>
      </w:r>
    </w:p>
    <w:bookmarkEnd w:id="47"/>
    <w:bookmarkStart w:name="z59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см - сантиметр;</w:t>
      </w:r>
    </w:p>
    <w:bookmarkEnd w:id="48"/>
    <w:bookmarkStart w:name="z60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с/о - сельский округ;</w:t>
      </w:r>
    </w:p>
    <w:bookmarkEnd w:id="49"/>
    <w:bookmarkStart w:name="z61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ГЛФ – государственный лесной фонд.</w:t>
      </w:r>
    </w:p>
    <w:bookmarkEnd w:id="50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10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Relationship Target="media/document_image_rId7.jpeg" Type="http://schemas.openxmlformats.org/officeDocument/2006/relationships/image" Id="rId7"/><Relationship Target="media/document_image_rId8.jpeg" Type="http://schemas.openxmlformats.org/officeDocument/2006/relationships/image" Id="rId8"/><Relationship Target="media/document_image_rId9.jpeg" Type="http://schemas.openxmlformats.org/officeDocument/2006/relationships/image" Id="rId9"/><Relationship Target="header.xml" Type="http://schemas.openxmlformats.org/officeDocument/2006/relationships/header" Id="rId10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