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c1d" w14:textId="137c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6 марта 2017 года № 68. Зарегистрировано Департаментом юстиции Восточно-Казахстанской области 13 апреля 2017 года № 4951. Утратило силу - постановлением акимата Зыряновского района Восточно-Казахстанской области от 10 мая 2018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Зыряновского района Восточно-Казахстанской области от 10.05.2018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за номером 14637),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городов, поселков, сельских округов и исполнительных органов Зыряновского района,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2017 года № 67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аппаратов акима района, городов, поселков, сельских округов и исполнительных органов Зыряновского района (далее - Методика) разработана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2016 года № 110 (зарегистрирован в Реестре государственной регистрации нормативных правовых актов за номером 14637) (далее – Типовая методика) и определяет алгоритм оценки деятельности административных государственных служащих корпуса "Б" аппаратов акима района, городов, поселков, сельских округов и исполнительных органов Зыряновского района (далее – служащие).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бюджета, акимов городов районного значения, поселков, сельских округов, оценка проводится акимом района либо по его уполномочию одним из его заместителей.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индивидуального плана работы по форме согласно приложению 1 к Типовой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оценке, рабочим органом которой является кадровая служба.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приложению 1 к Типовой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приложению 2 к Типовой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отдела документационного обеспечения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приложению 3 к Типовой Методике.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кадровой службой не позднее пяти рабочих дней до заседания Комиссии по оценке по следующей формуле: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 приложению 4 к Типовой Методике.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с результатами оценки в течение двух рабочих дней со дня ее завершения.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