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8b62" w14:textId="f7c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Глубоковского районного акимата от 01 июня 2016 года № 175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3 августа 2017 года № 350. Зарегистрировано Департаментом юстиции Восточно-Казахстанской области 29 августа 2017 года № 5184. Утратило силу постановлением Глубоковского районного акимата Восточно-Казахстанской области от 12 мая 2025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01 июня 2016 года № 175 "Об определении мест для осуществления выездной торговли" (зарегистрированное в Реестре государственной регистрации нормативных правовых актов 16 июня 2016 года № 4565, опубликованное в газетах Ақ бұлақ 24 июня 2016 года № 27, Огни Прииртышья 24 июня 2016 года № 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"Больничный": улица Поповича, 49/1; микрорайон  "Больничный":  улица Поповича, около дома № 5; микрорайон "Больничный": улица Пирогова, около дома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 10, площадь, прилегающая к зданию Алтайского сельского дома культуры; улица Мира, территория около дома №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возле дома № 1 на перекрестке улиц Юбилейная-Жукова; улица Жукова дом № 49 на перекрестке улиц Жукова-Фабричная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улица Степная дом № 77, территория около автостанции;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Веселовка, улица Гагарина, возле автобусной остановки. Забетонированная площадка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Верх-Березовский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площадка около парка "Тополек"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Березовка, улица Юбилейная дом № 2, площадка перед Березовским сельским домом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Прапорщиково, перед двухэтажным домом по улице Школьная дом № 1; село Уварово, в районе остановки рейсового автобуса маршрута город Усть-Каменогорск- село Предгорное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Кожохово, улица Ленина возле дома культуры; село Прогресс, улица Кирова дом № 10 возле здания крестьянского хозяйства "Глубочанка"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улица Кирова дом № 47, площадка перед зданием "Казахтелеком"; село Перевальное, улица Березовская, через дорогу от Переваловской средней школы; садоводческие общества: Яблонька, Связист, Иртышский строитель 2, Пищевик 3, Вишенка, Бытовик, Механизатор 2, Иголочка, Алтай, Металург СЦК4 – вдоль трассы – город Усть-Каменогорск - город Шемонаиха.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Быструха, улица Новостройка, площадка перед зданием водоэксплуатационной организации; село Быструха, площадка за мостом, справа от трассы Усть-Каменогорск-Риддер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Малоубинка, улица Клиновицкого дом № 5, на площадке около Малоубинского сельского дома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на площади у Опытнопольского сельского дома культуры по улице Степная дом №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улица Шоссейная, территория около автостанции; село Белокаменка, территория около автостанции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Тарханка, в районе жилого дома по улице Степная; село Тарханка, в районе больницы по улице Молодых дом № 2; село Тарханка, в районе жилого дома по улице Степная дом № 58; село Винное, в районе остановки улица Молодежная дом № 13 ; село Горная-Ульбинка, в районе жилых домов по улице Шоссейная дома № 17-19; село Ново-Ульбинка, в районе дачной остановки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улица Гагарина, между Черемшанским сельским домом культуры по адресу улица Гагарина дом № 12/1 и жилым домом по улице Гагарина № 19; село Черемшанка, на пересечении улиц Кирова и Лениногорская.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