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c452" w14:textId="ef4c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Усть-Каменогорска от 6 апреля 2017 года № 1371 "О едином организаторе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августа 2017 года № 3228. Зарегистрировано Департаментом юстиции Восточно-Казахстанской области 21 августа 2017 года № 5169. Утратило силу постановлением акимата города Усть-Каменогорска Восточно-Казахстанской области от 3 июня 2019 года № 2385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03.06.2019 </w:t>
      </w:r>
      <w:r>
        <w:rPr>
          <w:rFonts w:ascii="Times New Roman"/>
          <w:b w:val="false"/>
          <w:i w:val="false"/>
          <w:color w:val="ff0000"/>
          <w:sz w:val="28"/>
        </w:rPr>
        <w:t>№ 2385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6 апреля 2017 года № 1371 "О едином организаторе государственных закупок" (зарегистрировано в Реестре государственной регистрации нормативных правовых актов за № 4974, опубликовано 27 апреля 2017 года в Эталонном контрольном банке нормативных правовых актов, 29 апреля 2017 года в газетах "Дидар", "Рудный Алтай")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постановлении: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Определить перечень работ, по которым организация и проведение государственных закупок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Тумабаев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2017года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3228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по которым организация и проведение государственных закупок выполняются единым организатором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1678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реализуемых за счет бюджетных средств, где администраторами бюджетных программ выступают государственные учреждения города Усть-Каменогорска, а также где заказчиками выступают коммунальныегосударственные предприятия, юридические лица города Усть-Каменогорск, пятьдесят и более процентов голосующих акций (долей участия в уставном капитале) которых принадлежат государству (при превышении суммы, выделенной для их приобретения двадцатипятитысячекратного размера месячного расчетного показателя, установленного на соответствующий финансовый год бюджетным законодательством)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(строительство) новых либо реконструкция и капитальный ремонт имеющихся объектов, закупаемых в рамках реализуемых бюджетных инвестиционных проектов (при превышении суммы, выделенной для их приобретения двадцатипятитысячекратного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Средний, текущий ремонт автомобильных дорог городского значения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водопроводных и тепловых сетей, канализаций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(при превышении суммы, выделенной для их приобретения двадцатитысячекратного размера месячного расчетного показателя, установленного на соответствующий финансовый год законом о республиканском бюджете)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указанный размер месячного расчетного показателя учитывается </w:t>
      </w:r>
      <w:r>
        <w:rPr>
          <w:rFonts w:ascii="Times New Roman"/>
          <w:b w:val="false"/>
          <w:i w:val="false"/>
          <w:color w:val="000000"/>
          <w:sz w:val="28"/>
        </w:rPr>
        <w:t>с НДС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