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69d7" w14:textId="6846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и исполнительных органов города Усть-Каменогорска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4 мая 2017 года № 1821. Зарегистрировано Департаментом юстиции Восточно-Казахстанской области 5 июня 2017 года № 5058. Утратило силу - постановлением акимата города Усть-Каменогорска Восточно-Казахстанской области от 21 июня 2018 года № 2768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21.06.2018 № 2768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акимат города Усть-Каменогорска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и исполнительных органов города Усть-Каменогорска.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Зарегистрировано в 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_05__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1821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и исполнительных органов города Усть-Каменогорска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и исполнительных органов города Усть-Каменогорска (далее – Методика) разработана на основе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Типовой методики оценки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административных государственных служащих корпуса "Б", утвержденной приказом Председателя Агентства Республики Казахстан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и определяет алгоритм оценки деятельности административных государственных служащих корпуса "Б" (далее – Служащие).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служащего не проводится в случаях, если срок пребывания на занимаемой должности в оцениваемом периоде составляет менее трех месяцев, а также в период </w:t>
      </w:r>
      <w:r>
        <w:rPr>
          <w:rFonts w:ascii="Times New Roman"/>
          <w:b w:val="false"/>
          <w:i w:val="false"/>
          <w:color w:val="000000"/>
          <w:sz w:val="28"/>
        </w:rPr>
        <w:t>испытательного срока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Служащие, находящиеся в </w:t>
      </w:r>
      <w:r>
        <w:rPr>
          <w:rFonts w:ascii="Times New Roman"/>
          <w:b w:val="false"/>
          <w:i w:val="false"/>
          <w:color w:val="000000"/>
          <w:sz w:val="28"/>
        </w:rPr>
        <w:t>социальных отпусках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данный служащий подчинен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 города оценка проводится акимом города либо по его уполномочию одним из его заместителей.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за отчетные кварталы;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создается Комиссия по оценке, рабочим органом которой является служба управления персоналом (кадровая служба) аппарата акима города (далее – служба управления персоналом).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нарушения служащими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выставляются штрафные баллы в размере " – 2" балла за каждый факт нарушения.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вычисляется непосредственным руководителем по следующей формуле: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от ознакомления не является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работником службы управления персоналом в произвольной форме составляется акт об отказе от ознакомления.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0"/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в уполномоченном органе по делам государственной службы (далее – Уполномоченный орган)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или его территориальный департамент.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вправе обжаловать результаты оценки в суде.</w:t>
      </w:r>
    </w:p>
    <w:bookmarkEnd w:id="95"/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с результатами оценки "превосходно" и "эффективно".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</w:p>
        </w:tc>
      </w:tr>
    </w:tbl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</w:p>
    <w:bookmarkEnd w:id="105"/>
    <w:bookmarkStart w:name="z10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_____________________________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7758"/>
        <w:gridCol w:w="1905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показатель 3     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</w:p>
        </w:tc>
      </w:tr>
    </w:tbl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4"/>
    <w:bookmarkStart w:name="z11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5"/>
    <w:bookmarkStart w:name="z12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 _____________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17"/>
        <w:gridCol w:w="6483"/>
      </w:tblGrid>
      <w:tr>
        <w:trPr>
          <w:trHeight w:val="30" w:hRule="atLeast"/>
        </w:trPr>
        <w:tc>
          <w:tcPr>
            <w:tcW w:w="5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</w:p>
        </w:tc>
      </w:tr>
    </w:tbl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1"/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13"/>
        <w:gridCol w:w="6587"/>
      </w:tblGrid>
      <w:tr>
        <w:trPr>
          <w:trHeight w:val="30" w:hRule="atLeast"/>
        </w:trPr>
        <w:tc>
          <w:tcPr>
            <w:tcW w:w="5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</w:p>
        </w:tc>
      </w:tr>
    </w:tbl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4724"/>
        <w:gridCol w:w="1930"/>
        <w:gridCol w:w="2626"/>
        <w:gridCol w:w="1091"/>
      </w:tblGrid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(фамилия, инициалы, подпись)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(фамилия, инициалы, подпись)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инициалы, подпись)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