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0734" w14:textId="0510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29 марта 2017 года № 15/4-VI. Зарегистрировано Департаментом юстиции Восточно-Казахстанской области 14 апреля 2017 года № 4956. Утратило силу - решением Усть-Каменогорского городского маслихата Восточно-Казахстанской области от 17 мая 2018 года № 30/8-VI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Усть-Каменогорского городского маслихата Восточно-Казахстанской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30/8-VI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3176, опубликовано 13 февраля 2014 года в газетах "Өскемен" № 6, "Усть-Каменогорск" № 6)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Единовременная социальная помощь к памятным датам и праздничным дням предоставляется следующим категориям граждан: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 – 67 000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60 000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орденами "Материнская слава" I и II степени или ранее получившим звание "Мать-героиня" - 20 000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"Күміс алқа" - 15 000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 – 15 000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"Международный день Памяти жертв радиационных аварий и катастроф – 26 апреля" –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65 000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– 1 мая – получателям пенсионных выплат с размером, не превышающим 43000 (сорок три тысячи) тенге – 20000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100 000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– 60 000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65 000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60 000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60 000 тенге;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60 000 тенге;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- 65 000 тенге;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65 000 тенге;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вступившим в повторный брак – 65 000 тенге;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– 10 000 тенге;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– 24 000 тенге;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 – 5 000 тенге;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по 5000 тенге.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полномочия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