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8d375" w14:textId="c68d3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Туркестанского городского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Южно-Казахстанской области от 17 апреля 2017 года № 15/87-VI. Зарегистрировано Департаментом юстиции Южно-Казахстанской области 20 апреля 2017 года № 4065. Утратило силу решением Туркестанского городского маслихата Южно-Казахстанской области от 19 марта 2018 года № 28/155-VI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Туркестанского городского маслихата Южно-Казахстанской области от 19.03.2018 № 28/155-VI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служащих", зарегистрированного в Реестре государственной регистрации нормативных правовых актов за № 14637, Туркестанский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Туркестанского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от 15 марта 2016 года № 55/308-V "Об утверждении Методики оценки деятельности административных государственных служащих корпуса "Б" аппарата Туркестанского городского маслихата" (зарегистрированного в Реестре государственной регистрации нормативных правовых актов за № 3643, опубликованного 1 апреля 2016 года в газете "Туркистон").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15/87-VІ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Туркестанского городского маслихата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Туркестанского городского маслихата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аппарата Туркестанского городского маслихата (далее – служащие корпуса "Б").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специалист ответственный за службу управления персоналом.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специалист ответственный за службу управления персоналом. Секретарь Комиссии по оценке не принимает участие в голосовании.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специалисту ответственному за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19"/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Специалист ответственный за службу управления персоналом формирует график проведения оценки по согласованию с председателем Комиссии по оценке.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ответственный за службу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специалиста ответственного за службу управления персоналом и непосредственного руководителя служащего корпуса "Б".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специалистом ответственным за службу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специалистом ответственным за службу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Итоговая квартальная оценка выставляется по следующей шкале: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менее 80 баллов – "неудовлетворительно",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80 до 105 (включительно) баллов – "удовлетворительно",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106 до 130 (включительно) баллов – "эффективно",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130 баллов – "превосходно".</w:t>
      </w:r>
    </w:p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специалистом ответственным за службу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специалистом ответственным за службу управления персоналом не позднее пяти рабочих дней до заседания Комиссии по оценке по следующей формуле: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Итоговая годовая оценка выставляется по следующей шкале: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менее 3 баллов – "неудовлетворительно",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3 до 3,9 баллов – "удовлетворительно",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4 до 4,9 баллов – "эффективно",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"превосходно".</w:t>
      </w:r>
    </w:p>
    <w:bookmarkStart w:name="z4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Специалист ответственный за службу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ответственный за службу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Специалист ответственный за службу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специалистом ответственным за службу управления персоналом в произвольной форме составляется акт об отказе от ознакомления.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специалиста ответственного за службу управления персоналом.</w:t>
      </w:r>
    </w:p>
    <w:bookmarkEnd w:id="47"/>
    <w:bookmarkStart w:name="z5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52"/>
    <w:bookmarkStart w:name="z5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служащего)________________________________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4"/>
        <w:gridCol w:w="6556"/>
      </w:tblGrid>
      <w:tr>
        <w:trPr>
          <w:trHeight w:val="30" w:hRule="atLeast"/>
        </w:trPr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</w:p>
        </w:tc>
        <w:tc>
          <w:tcPr>
            <w:tcW w:w="6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___________________квартал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</w:t>
      </w:r>
      <w:r>
        <w:rPr>
          <w:rFonts w:ascii="Times New Roman"/>
          <w:b w:val="false"/>
          <w:i/>
          <w:color w:val="000000"/>
          <w:sz w:val="28"/>
        </w:rPr>
        <w:t>оцениваемый период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оцениваемого служащего: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2094"/>
        <w:gridCol w:w="1434"/>
        <w:gridCol w:w="1434"/>
        <w:gridCol w:w="2787"/>
        <w:gridCol w:w="1908"/>
        <w:gridCol w:w="1587"/>
        <w:gridCol w:w="386"/>
      </w:tblGrid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поощ-ряемых показа-телях и видах 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исполни-тельской дисциплины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дисципли-ны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поощ-ряемых показа-телях и видах деятель-ности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исполни-тельской дисциплины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</w:t>
      </w:r>
      <w:r>
        <w:rPr>
          <w:rFonts w:ascii="Times New Roman"/>
          <w:b w:val="false"/>
          <w:i/>
          <w:color w:val="000000"/>
          <w:sz w:val="28"/>
        </w:rPr>
        <w:t>оцениваемый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 xml:space="preserve">(при его наличии) </w:t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1830"/>
        <w:gridCol w:w="2385"/>
        <w:gridCol w:w="498"/>
        <w:gridCol w:w="1687"/>
        <w:gridCol w:w="3361"/>
        <w:gridCol w:w="1493"/>
        <w:gridCol w:w="16"/>
      </w:tblGrid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</w:t>
      </w:r>
      <w:r>
        <w:rPr>
          <w:rFonts w:ascii="Times New Roman"/>
          <w:b w:val="false"/>
          <w:i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государственного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органа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(вид оценки: квартальная/ годовая и оцениваемый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период (квартал и (или)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4"/>
        <w:gridCol w:w="4818"/>
        <w:gridCol w:w="1807"/>
        <w:gridCol w:w="2459"/>
        <w:gridCol w:w="1022"/>
      </w:tblGrid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служащих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Корректировка Комиссией результатов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Проверено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_________________________________ Дата: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</w:t>
      </w:r>
      <w:r>
        <w:rPr>
          <w:rFonts w:ascii="Times New Roman"/>
          <w:b w:val="false"/>
          <w:i/>
          <w:color w:val="000000"/>
          <w:sz w:val="28"/>
        </w:rPr>
        <w:t>фамилия,иницалы,подпись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_______________________________ Дата: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</w:t>
      </w:r>
      <w:r>
        <w:rPr>
          <w:rFonts w:ascii="Times New Roman"/>
          <w:b w:val="false"/>
          <w:i/>
          <w:color w:val="000000"/>
          <w:sz w:val="28"/>
        </w:rPr>
        <w:t>фамилия,иницалы,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______________________________________ Дата: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</w:t>
      </w:r>
      <w:r>
        <w:rPr>
          <w:rFonts w:ascii="Times New Roman"/>
          <w:b w:val="false"/>
          <w:i/>
          <w:color w:val="000000"/>
          <w:sz w:val="28"/>
        </w:rPr>
        <w:t>фамилия,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иницалы,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