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0a71" w14:textId="1770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Шымкентского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31 марта 2017 года № 15/138-6с. Зарегистрировано Департаментом юстиции Южно-Казахстанской области 18 апреля 2017 года № 4050. Утратило силу решением Шымкентского городского маслихата Южно-Казахстанской области от 29 мая 2018 года № 28/242-6с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29.05.2018 № 28/242-6с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Республики Казахстан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Шымкентского городского маслихата согласно приложениям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3 мая 2016 года № 2/22-6с "Об утверждении Методики оценки деятельности административных государственных служащих корпуса "Б" аппарата Шымкентского городского маслихата" (зарегистрировано в Реестре государственной регистрации нормативных правовых актов за № 759, опубликовано 17 июня 2016 года в газете "Панорама Шымкента").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15/138-6с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Шымкентского городского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Шымкентского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Шымкентского городского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