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23b0" w14:textId="b122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14 ноября 2016 года № 7-1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27 февраля 2017 года № 10-5. Зарегистрировано Департаментом юстиции Северо-Казахстанской области 18 марта 2017 года № 4110. Утратило силу решением маслихата района Магжана Жумабаева Северо-Казахстанской области от 2 июня 2017 года № 11-6</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02.06.2017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от 14 ноября 2016 года № 7-1 (опубликовано 9 декабря 2016 года в районной газете "Мағжан жұлдызы", 9 декабря 2016 года в районной газете "Вести", зарегистрировано в Реестре государственной регистрации нормативных правовых актов под № 3946) следующее изменение: </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Кусанова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27 февраля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района Магжана Жумабаева Северо-Казахстанской области от 27 февраля 2017 года № 10-5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15" w:id="4"/>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0852"/>
        <w:gridCol w:w="1048"/>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w:t>
            </w:r>
          </w:p>
          <w:bookmarkEnd w:id="5"/>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памятных дат и праздничных дней и категорий получателей социальной помощи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(в месячных расчетных показателях)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февраля – "День вывода войск с территории Афганистана"</w:t>
            </w:r>
          </w:p>
          <w:bookmarkEnd w:id="6"/>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представительных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для доставки грузов в эту страну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марта – "Международный женский день"</w:t>
            </w:r>
          </w:p>
          <w:bookmarkEnd w:id="13"/>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1 и 2 степени и ранее получивших звание "Мать Героиня"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bookmarkEnd w:id="15"/>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 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мая – "День защитника Отечества"</w:t>
            </w:r>
          </w:p>
          <w:bookmarkEnd w:id="21"/>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военнослужащих, погибших (умерших) при прохождении воинской службы в мирное время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мая – "День победы"</w:t>
            </w:r>
          </w:p>
          <w:bookmarkEnd w:id="24"/>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входящих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флота в качестве сыновей (воспитанников) полков и юнг</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госпиталей и больниц города Ленинграда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13</w:t>
            </w:r>
          </w:p>
          <w:bookmarkEnd w:id="37"/>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31 мая – "День памяти жертв политических репрессий и голода"</w:t>
            </w:r>
          </w:p>
          <w:bookmarkEnd w:id="38"/>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2</w:t>
            </w:r>
          </w:p>
          <w:bookmarkEnd w:id="40"/>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территории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w:t>
            </w:r>
          </w:p>
          <w:bookmarkEnd w:id="41"/>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подвергавшиеся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4</w:t>
            </w:r>
          </w:p>
          <w:bookmarkEnd w:id="42"/>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