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4e3d" w14:textId="eeb4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маслихата города Алматы VI созыва от 13 декабря 2017 года № 182. Зарегистрировано Департаментом юстиции города Алматы 22 декабря 2017 года № 1440.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2018-2020 годы",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483 372 775,4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402 840 554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5 129 779,4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7 970 499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67 431 943 тысяч тенге;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489 374 800,9 тысяч тенге;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10 078 691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31 903 401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34 514 900 тысяч тенге;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-47 984 117,5 тысяча тенге;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47 984 117,5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городе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услуг,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2018 год в сумме 102 907 355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10 033 508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на оборону в размере 2 596 518 тысячи тенге.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по обеспечению общественного порядка, безопасности, правовой, судебной, уголовно-исполнительной деятельности в сумме 16 675 372 тысячи тенге.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104 350 674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17 181 407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19 743 759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92 229 516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23 782 244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5 592 741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11 543 916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6 354 539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281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64 244 647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39 287 303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 решениями маслихата города Алматы от 17.04.2018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24.05.2018 №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17.07.2018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 ); от 28.09.2018 №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21.11.2018 №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13.12.2018 №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7 487 610 тысяч тенге.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перечень местных бюджетных программ, не подлежащих секвестру в процессе исполнения местного бюджета на 2018 год, согласно приложению 4 к настоящему решению.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13.12.2018 № 293 (вводится в действие с 01.01.2018).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483 372 775,4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47 984 117,5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