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ceb646" w14:textId="6ceb64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постановление акимата города Алматы от 8 июня 2015 года № 2/335 "Об утверждении регламента государственной услуги "Выдача архивных справок"</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города Алматы от 5 июля 2017 года № 3/257. Зарегистрировано Департаментом юстиции города Алматы 26 июля 2017 года № 1396. Утратило силу постановлением акимата города Алматы от 18 июля 2019 года № 3/457</w:t>
      </w:r>
    </w:p>
    <w:p>
      <w:pPr>
        <w:spacing w:after="0"/>
        <w:ind w:left="0"/>
        <w:jc w:val="both"/>
      </w:pPr>
      <w:r>
        <w:rPr>
          <w:rFonts w:ascii="Times New Roman"/>
          <w:b w:val="false"/>
          <w:i w:val="false"/>
          <w:color w:val="ff0000"/>
          <w:sz w:val="28"/>
        </w:rPr>
        <w:t xml:space="preserve">
      Сноска. Утратило силу </w:t>
      </w:r>
      <w:r>
        <w:rPr>
          <w:rFonts w:ascii="Times New Roman"/>
          <w:b w:val="false"/>
          <w:i w:val="false"/>
          <w:color w:val="ff0000"/>
          <w:sz w:val="28"/>
        </w:rPr>
        <w:t>постановлением</w:t>
      </w:r>
      <w:r>
        <w:rPr>
          <w:rFonts w:ascii="Times New Roman"/>
          <w:b w:val="false"/>
          <w:i w:val="false"/>
          <w:color w:val="ff0000"/>
          <w:sz w:val="28"/>
        </w:rPr>
        <w:t xml:space="preserve"> акимата города Алматы от 18.07.2019 № 3/457 (вводится в действие по истечении десяти календарных дней после дня его первого официального опубликования).</w:t>
      </w:r>
    </w:p>
    <w:bookmarkStart w:name="z0"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15 апреля 2013 года "О государственных услугах", руководствуясь </w:t>
      </w:r>
      <w:r>
        <w:rPr>
          <w:rFonts w:ascii="Times New Roman"/>
          <w:b w:val="false"/>
          <w:i w:val="false"/>
          <w:color w:val="000000"/>
          <w:sz w:val="28"/>
        </w:rPr>
        <w:t>приказом</w:t>
      </w:r>
      <w:r>
        <w:rPr>
          <w:rFonts w:ascii="Times New Roman"/>
          <w:b w:val="false"/>
          <w:i w:val="false"/>
          <w:color w:val="000000"/>
          <w:sz w:val="28"/>
        </w:rPr>
        <w:t xml:space="preserve"> Министра культуры и спорта Республики Казахстан от 7 марта 2017 года № 57 "О внесении изменений и дополнений в приказ Министра культуры и спорта Республики Казахстан от 17 апреля 2015 года № 138 "Об утверждении стандартов государственных услуг в области архивного дела", акимат города Алматы ПОСТАНОВЛЯЕТ: </w:t>
      </w:r>
    </w:p>
    <w:bookmarkEnd w:id="0"/>
    <w:bookmarkStart w:name="z1"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постановление</w:t>
      </w:r>
      <w:r>
        <w:rPr>
          <w:rFonts w:ascii="Times New Roman"/>
          <w:b w:val="false"/>
          <w:i w:val="false"/>
          <w:color w:val="000000"/>
          <w:sz w:val="28"/>
        </w:rPr>
        <w:t xml:space="preserve"> акимата города Алматы от 8 июня 2015 года № 2/335 "Об утверждении регламента государственной услуги "Выдача архивных справок" (зарегистрированное в Реестре государственной регистрации нормативных правовых актов за № 1180, опубликованное 14 июля 2015 года в газетах "Алматы ақшамы" и "Вечерний Алматы") следующее изменение: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регламент</w:t>
      </w:r>
      <w:r>
        <w:rPr>
          <w:rFonts w:ascii="Times New Roman"/>
          <w:b w:val="false"/>
          <w:i w:val="false"/>
          <w:color w:val="000000"/>
          <w:sz w:val="28"/>
        </w:rPr>
        <w:t xml:space="preserve"> государственной услуги "Выдача архивных справок", утвержденный указанным постановлением, изложить в новой редакции согласно приложению к настоящему постановлению.</w:t>
      </w:r>
    </w:p>
    <w:bookmarkStart w:name="z3" w:id="2"/>
    <w:p>
      <w:pPr>
        <w:spacing w:after="0"/>
        <w:ind w:left="0"/>
        <w:jc w:val="both"/>
      </w:pPr>
      <w:r>
        <w:rPr>
          <w:rFonts w:ascii="Times New Roman"/>
          <w:b w:val="false"/>
          <w:i w:val="false"/>
          <w:color w:val="000000"/>
          <w:sz w:val="28"/>
        </w:rPr>
        <w:t xml:space="preserve">
      2. Признать утратившим силу </w:t>
      </w:r>
      <w:r>
        <w:rPr>
          <w:rFonts w:ascii="Times New Roman"/>
          <w:b w:val="false"/>
          <w:i w:val="false"/>
          <w:color w:val="000000"/>
          <w:sz w:val="28"/>
        </w:rPr>
        <w:t>постановление</w:t>
      </w:r>
      <w:r>
        <w:rPr>
          <w:rFonts w:ascii="Times New Roman"/>
          <w:b w:val="false"/>
          <w:i w:val="false"/>
          <w:color w:val="000000"/>
          <w:sz w:val="28"/>
        </w:rPr>
        <w:t xml:space="preserve"> акимата города Алматы от 20 апреля 2016 года № 2/150 "О внесении изменения в постановление акимата города Алматы от 8 июня 2015 года № 2/335 "Об утверждении регламента государственной услуги "Выдача архивных справок" (зарегистрированное в Реестре государственной регистрации нормативных правовых актов за № 1287, опубликованное 26 мая 2016 года в газетах "Алматы ақшамы" и "Вечерний Алматы").</w:t>
      </w:r>
    </w:p>
    <w:bookmarkEnd w:id="2"/>
    <w:p>
      <w:pPr>
        <w:spacing w:after="0"/>
        <w:ind w:left="0"/>
        <w:jc w:val="both"/>
      </w:pPr>
      <w:r>
        <w:rPr>
          <w:rFonts w:ascii="Times New Roman"/>
          <w:b w:val="false"/>
          <w:i w:val="false"/>
          <w:color w:val="000000"/>
          <w:sz w:val="28"/>
        </w:rPr>
        <w:t>
      3. Управлению культуры и архивов города Алматы в установленном законодательством Республики Казахстан порядке обеспечить государственную регистрацию настоящего постановления в органах юстиции с последующим официальным опубликованием в периодических печатных изданиях и на интернет-ресурсе акимата города Алматы, а также в Эталонном контрольном банке нормативных правовых актов Республики Казахстан.</w:t>
      </w:r>
    </w:p>
    <w:p>
      <w:pPr>
        <w:spacing w:after="0"/>
        <w:ind w:left="0"/>
        <w:jc w:val="both"/>
      </w:pPr>
      <w:r>
        <w:rPr>
          <w:rFonts w:ascii="Times New Roman"/>
          <w:b w:val="false"/>
          <w:i w:val="false"/>
          <w:color w:val="000000"/>
          <w:sz w:val="28"/>
        </w:rPr>
        <w:t>
      4. Контроль за исполнением настоящего постановления возложить на заместителя акима города Алматы А. Кырыкбаева.</w:t>
      </w:r>
    </w:p>
    <w:p>
      <w:pPr>
        <w:spacing w:after="0"/>
        <w:ind w:left="0"/>
        <w:jc w:val="both"/>
      </w:pPr>
      <w:r>
        <w:rPr>
          <w:rFonts w:ascii="Times New Roman"/>
          <w:b w:val="false"/>
          <w:i w:val="false"/>
          <w:color w:val="000000"/>
          <w:sz w:val="28"/>
        </w:rPr>
        <w:t>
      5.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Аким города Алматы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Байбек</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постановлению акимата</w:t>
            </w:r>
            <w:r>
              <w:br/>
            </w:r>
            <w:r>
              <w:rPr>
                <w:rFonts w:ascii="Times New Roman"/>
                <w:b w:val="false"/>
                <w:i w:val="false"/>
                <w:color w:val="000000"/>
                <w:sz w:val="20"/>
              </w:rPr>
              <w:t>города Алматы</w:t>
            </w:r>
            <w:r>
              <w:br/>
            </w:r>
            <w:r>
              <w:rPr>
                <w:rFonts w:ascii="Times New Roman"/>
                <w:b w:val="false"/>
                <w:i w:val="false"/>
                <w:color w:val="000000"/>
                <w:sz w:val="20"/>
              </w:rPr>
              <w:t>от 5 июля 2017 года № 3/257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постановлением акимата</w:t>
            </w:r>
            <w:r>
              <w:br/>
            </w:r>
            <w:r>
              <w:rPr>
                <w:rFonts w:ascii="Times New Roman"/>
                <w:b w:val="false"/>
                <w:i w:val="false"/>
                <w:color w:val="000000"/>
                <w:sz w:val="20"/>
              </w:rPr>
              <w:t>города Алматы</w:t>
            </w:r>
            <w:r>
              <w:br/>
            </w:r>
            <w:r>
              <w:rPr>
                <w:rFonts w:ascii="Times New Roman"/>
                <w:b w:val="false"/>
                <w:i w:val="false"/>
                <w:color w:val="000000"/>
                <w:sz w:val="20"/>
              </w:rPr>
              <w:t xml:space="preserve">от 8 июня 2015 года № 2/335 </w:t>
            </w:r>
          </w:p>
        </w:tc>
      </w:tr>
    </w:tbl>
    <w:bookmarkStart w:name="z5" w:id="3"/>
    <w:p>
      <w:pPr>
        <w:spacing w:after="0"/>
        <w:ind w:left="0"/>
        <w:jc w:val="left"/>
      </w:pPr>
      <w:r>
        <w:rPr>
          <w:rFonts w:ascii="Times New Roman"/>
          <w:b/>
          <w:i w:val="false"/>
          <w:color w:val="000000"/>
        </w:rPr>
        <w:t xml:space="preserve"> Регламент государственной услуги</w:t>
      </w:r>
      <w:r>
        <w:br/>
      </w:r>
      <w:r>
        <w:rPr>
          <w:rFonts w:ascii="Times New Roman"/>
          <w:b/>
          <w:i w:val="false"/>
          <w:color w:val="000000"/>
        </w:rPr>
        <w:t>"Выдача архивных справок" Глава 1. Общие положения</w:t>
      </w:r>
    </w:p>
    <w:bookmarkEnd w:id="3"/>
    <w:p>
      <w:pPr>
        <w:spacing w:after="0"/>
        <w:ind w:left="0"/>
        <w:jc w:val="both"/>
      </w:pPr>
      <w:r>
        <w:rPr>
          <w:rFonts w:ascii="Times New Roman"/>
          <w:b w:val="false"/>
          <w:i w:val="false"/>
          <w:color w:val="000000"/>
          <w:sz w:val="28"/>
        </w:rPr>
        <w:t>
      1. Государственная услуга "Выдача архивных справок" (далее – государственная услуга) оказывается коммунальным государственным учреждением "Центральный государственный архив города Алматы" Управления культуры и архивов города Алматы, по адресу: город Алматы, улица Шуланова, 159 (далее - услугодатель).</w:t>
      </w:r>
    </w:p>
    <w:p>
      <w:pPr>
        <w:spacing w:after="0"/>
        <w:ind w:left="0"/>
        <w:jc w:val="both"/>
      </w:pPr>
      <w:r>
        <w:rPr>
          <w:rFonts w:ascii="Times New Roman"/>
          <w:b w:val="false"/>
          <w:i w:val="false"/>
          <w:color w:val="000000"/>
          <w:sz w:val="28"/>
        </w:rPr>
        <w:t>
      Прием заявления и выдача результата оказания государственной услуги осуществляются через:</w:t>
      </w:r>
    </w:p>
    <w:p>
      <w:pPr>
        <w:spacing w:after="0"/>
        <w:ind w:left="0"/>
        <w:jc w:val="both"/>
      </w:pPr>
      <w:r>
        <w:rPr>
          <w:rFonts w:ascii="Times New Roman"/>
          <w:b w:val="false"/>
          <w:i w:val="false"/>
          <w:color w:val="000000"/>
          <w:sz w:val="28"/>
        </w:rPr>
        <w:t>
      отдел документационного обеспечения услугодателя (канцелярия);</w:t>
      </w:r>
    </w:p>
    <w:p>
      <w:pPr>
        <w:spacing w:after="0"/>
        <w:ind w:left="0"/>
        <w:jc w:val="both"/>
      </w:pPr>
      <w:r>
        <w:rPr>
          <w:rFonts w:ascii="Times New Roman"/>
          <w:b w:val="false"/>
          <w:i w:val="false"/>
          <w:color w:val="000000"/>
          <w:sz w:val="28"/>
        </w:rPr>
        <w:t>
      некоммерческое акционерное общество "Государственная корпорация "Правительство для граждан" (далее – Государственная корпорация);</w:t>
      </w:r>
    </w:p>
    <w:p>
      <w:pPr>
        <w:spacing w:after="0"/>
        <w:ind w:left="0"/>
        <w:jc w:val="both"/>
      </w:pPr>
      <w:r>
        <w:rPr>
          <w:rFonts w:ascii="Times New Roman"/>
          <w:b w:val="false"/>
          <w:i w:val="false"/>
          <w:color w:val="000000"/>
          <w:sz w:val="28"/>
        </w:rPr>
        <w:t>
      веб-портал "электронного правительства" www.egov.kz (далее – портал).</w:t>
      </w:r>
    </w:p>
    <w:p>
      <w:pPr>
        <w:spacing w:after="0"/>
        <w:ind w:left="0"/>
        <w:jc w:val="both"/>
      </w:pPr>
      <w:r>
        <w:rPr>
          <w:rFonts w:ascii="Times New Roman"/>
          <w:b w:val="false"/>
          <w:i w:val="false"/>
          <w:color w:val="000000"/>
          <w:sz w:val="28"/>
        </w:rPr>
        <w:t>
      Форма оказания государственной услуги: электронная (частично автоматизированная) и (или) бумажная.</w:t>
      </w:r>
    </w:p>
    <w:p>
      <w:pPr>
        <w:spacing w:after="0"/>
        <w:ind w:left="0"/>
        <w:jc w:val="both"/>
      </w:pPr>
      <w:r>
        <w:rPr>
          <w:rFonts w:ascii="Times New Roman"/>
          <w:b w:val="false"/>
          <w:i w:val="false"/>
          <w:color w:val="000000"/>
          <w:sz w:val="28"/>
        </w:rPr>
        <w:t>
      3. Результат оказания государственной услуги:</w:t>
      </w:r>
    </w:p>
    <w:p>
      <w:pPr>
        <w:spacing w:after="0"/>
        <w:ind w:left="0"/>
        <w:jc w:val="both"/>
      </w:pPr>
      <w:r>
        <w:rPr>
          <w:rFonts w:ascii="Times New Roman"/>
          <w:b w:val="false"/>
          <w:i w:val="false"/>
          <w:color w:val="000000"/>
          <w:sz w:val="28"/>
        </w:rPr>
        <w:t>
      1) у услугодателя, в Государственной корпорации – архивная справка о подтверждении либо ответ об отсутствии следующих сведений социально-правового характера: трудового стажа, размера заработной платы, возраста, состава семьи, образования, награждения, перечисления пенсионных взносов и социальных отчислений, присвоения ученых степеней и званий, несчастного случая, нахождения на излечении или эвакуации, применения репрессий, реабилитации жертв массовых политических репрессий, проживания в зонах экологического бедствия, пребывания в местах лишения свободы, сведений об актах гражданского состояния, о правоустанавливающих и идентификационных документах и (или) заверенные копии или архивные выписки из архивных документов;</w:t>
      </w:r>
    </w:p>
    <w:p>
      <w:pPr>
        <w:spacing w:after="0"/>
        <w:ind w:left="0"/>
        <w:jc w:val="both"/>
      </w:pPr>
      <w:r>
        <w:rPr>
          <w:rFonts w:ascii="Times New Roman"/>
          <w:b w:val="false"/>
          <w:i w:val="false"/>
          <w:color w:val="000000"/>
          <w:sz w:val="28"/>
        </w:rPr>
        <w:t>
      2) на портале выдается уведомление с указанием места и даты получения результата оказания государственной услуги.</w:t>
      </w:r>
    </w:p>
    <w:p>
      <w:pPr>
        <w:spacing w:after="0"/>
        <w:ind w:left="0"/>
        <w:jc w:val="both"/>
      </w:pPr>
      <w:r>
        <w:rPr>
          <w:rFonts w:ascii="Times New Roman"/>
          <w:b w:val="false"/>
          <w:i w:val="false"/>
          <w:color w:val="000000"/>
          <w:sz w:val="28"/>
        </w:rPr>
        <w:t>
      Форма предоставления результата оказания государственной услуги – бумажная.</w:t>
      </w:r>
    </w:p>
    <w:p>
      <w:pPr>
        <w:spacing w:after="0"/>
        <w:ind w:left="0"/>
        <w:jc w:val="left"/>
      </w:pPr>
      <w:r>
        <w:rPr>
          <w:rFonts w:ascii="Times New Roman"/>
          <w:b/>
          <w:i w:val="false"/>
          <w:color w:val="000000"/>
        </w:rPr>
        <w:t xml:space="preserve"> Глава 2. Описание порядка действий структурных подразделений</w:t>
      </w:r>
      <w:r>
        <w:br/>
      </w:r>
      <w:r>
        <w:rPr>
          <w:rFonts w:ascii="Times New Roman"/>
          <w:b/>
          <w:i w:val="false"/>
          <w:color w:val="000000"/>
        </w:rPr>
        <w:t>(работников) услугодателя в процессе оказания государственной услуги</w:t>
      </w:r>
    </w:p>
    <w:p>
      <w:pPr>
        <w:spacing w:after="0"/>
        <w:ind w:left="0"/>
        <w:jc w:val="both"/>
      </w:pPr>
      <w:r>
        <w:rPr>
          <w:rFonts w:ascii="Times New Roman"/>
          <w:b w:val="false"/>
          <w:i w:val="false"/>
          <w:color w:val="000000"/>
          <w:sz w:val="28"/>
        </w:rPr>
        <w:t>
      4. Основанием для начала процедуры (действий) по оказанию государственной услуги является:</w:t>
      </w:r>
    </w:p>
    <w:p>
      <w:pPr>
        <w:spacing w:after="0"/>
        <w:ind w:left="0"/>
        <w:jc w:val="both"/>
      </w:pPr>
      <w:r>
        <w:rPr>
          <w:rFonts w:ascii="Times New Roman"/>
          <w:b w:val="false"/>
          <w:i w:val="false"/>
          <w:color w:val="000000"/>
          <w:sz w:val="28"/>
        </w:rPr>
        <w:t>
      при обращении к услугодателю:</w:t>
      </w:r>
    </w:p>
    <w:p>
      <w:pPr>
        <w:spacing w:after="0"/>
        <w:ind w:left="0"/>
        <w:jc w:val="both"/>
      </w:pPr>
      <w:r>
        <w:rPr>
          <w:rFonts w:ascii="Times New Roman"/>
          <w:b w:val="false"/>
          <w:i w:val="false"/>
          <w:color w:val="000000"/>
          <w:sz w:val="28"/>
        </w:rPr>
        <w:t>
      при личном обращении услугополучателя – документ, удостоверяющий личность услугополучателя, документ, подтверждающий полномочия, либо нотариально засвидетельствованная доверенность, при представлении интересов услугополучателя третьим лицом (представляется для идентификации личности, работник услугодателя воспроизводит копию удостоверения личности для идентификации, после чего возвращает его оригинал услугополучателю);</w:t>
      </w:r>
    </w:p>
    <w:p>
      <w:pPr>
        <w:spacing w:after="0"/>
        <w:ind w:left="0"/>
        <w:jc w:val="both"/>
      </w:pPr>
      <w:r>
        <w:rPr>
          <w:rFonts w:ascii="Times New Roman"/>
          <w:b w:val="false"/>
          <w:i w:val="false"/>
          <w:color w:val="000000"/>
          <w:sz w:val="28"/>
        </w:rPr>
        <w:t xml:space="preserve">
      заполненное заявление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Стандарту. При наличии к заявлению прилагаются документы либо их копии, подтверждающие запрашиваемые сведения.</w:t>
      </w:r>
    </w:p>
    <w:p>
      <w:pPr>
        <w:spacing w:after="0"/>
        <w:ind w:left="0"/>
        <w:jc w:val="both"/>
      </w:pPr>
      <w:r>
        <w:rPr>
          <w:rFonts w:ascii="Times New Roman"/>
          <w:b w:val="false"/>
          <w:i w:val="false"/>
          <w:color w:val="000000"/>
          <w:sz w:val="28"/>
        </w:rPr>
        <w:t>
      При обращении услугополучателя по почте:</w:t>
      </w:r>
    </w:p>
    <w:p>
      <w:pPr>
        <w:spacing w:after="0"/>
        <w:ind w:left="0"/>
        <w:jc w:val="both"/>
      </w:pPr>
      <w:r>
        <w:rPr>
          <w:rFonts w:ascii="Times New Roman"/>
          <w:b w:val="false"/>
          <w:i w:val="false"/>
          <w:color w:val="000000"/>
          <w:sz w:val="28"/>
        </w:rPr>
        <w:t>
      заявление в произвольной форме, подписанное физическим лицом или представителем юридического лица, с указанием сведений о заявителе (для физического лица – фамилия, имя, отчество (при его наличии), место жительства, для юридического лица – его наименование, юридический адрес) и содержащие данные, необходимые для поиска запрашиваемых сведений. При наличии к заявлению прилагаются документы либо их копии, подтверждающие запрашиваемые сведения.</w:t>
      </w:r>
    </w:p>
    <w:p>
      <w:pPr>
        <w:spacing w:after="0"/>
        <w:ind w:left="0"/>
        <w:jc w:val="both"/>
      </w:pPr>
      <w:r>
        <w:rPr>
          <w:rFonts w:ascii="Times New Roman"/>
          <w:b w:val="false"/>
          <w:i w:val="false"/>
          <w:color w:val="000000"/>
          <w:sz w:val="28"/>
        </w:rPr>
        <w:t xml:space="preserve">
      Подтверждением принятия услугодателем пакета документов, перечисленных в </w:t>
      </w:r>
      <w:r>
        <w:rPr>
          <w:rFonts w:ascii="Times New Roman"/>
          <w:b w:val="false"/>
          <w:i w:val="false"/>
          <w:color w:val="000000"/>
          <w:sz w:val="28"/>
        </w:rPr>
        <w:t>пункте 9</w:t>
      </w:r>
      <w:r>
        <w:rPr>
          <w:rFonts w:ascii="Times New Roman"/>
          <w:b w:val="false"/>
          <w:i w:val="false"/>
          <w:color w:val="000000"/>
          <w:sz w:val="28"/>
        </w:rPr>
        <w:t xml:space="preserve"> Стандарта от услугополучателя, является копия заявления услугополучателя с отметкой даты и времени приема и номера входящего документа, с указанием фамилии, имени, отчества (при его наличии) лица, принявшего документы;</w:t>
      </w:r>
    </w:p>
    <w:p>
      <w:pPr>
        <w:spacing w:after="0"/>
        <w:ind w:left="0"/>
        <w:jc w:val="both"/>
      </w:pPr>
      <w:r>
        <w:rPr>
          <w:rFonts w:ascii="Times New Roman"/>
          <w:b w:val="false"/>
          <w:i w:val="false"/>
          <w:color w:val="000000"/>
          <w:sz w:val="28"/>
        </w:rPr>
        <w:t>
      при обращении в Государственную корпорацию:</w:t>
      </w:r>
    </w:p>
    <w:p>
      <w:pPr>
        <w:spacing w:after="0"/>
        <w:ind w:left="0"/>
        <w:jc w:val="both"/>
      </w:pPr>
      <w:r>
        <w:rPr>
          <w:rFonts w:ascii="Times New Roman"/>
          <w:b w:val="false"/>
          <w:i w:val="false"/>
          <w:color w:val="000000"/>
          <w:sz w:val="28"/>
        </w:rPr>
        <w:t>
      при личном обращении услугополучателя – документ, удостоверяющий личность услугополучателя, документ, подтверждающий полномочия, либо нотариально засвидетельствованная доверенность, при представлении интересов услугополучателя третьим лицом (представляется для идентификации личности, работник Государственной корпорации воспроизводит электронную копию документа для идентификации личности, после чего возвращает его оригинал услугополучателю).</w:t>
      </w:r>
    </w:p>
    <w:p>
      <w:pPr>
        <w:spacing w:after="0"/>
        <w:ind w:left="0"/>
        <w:jc w:val="both"/>
      </w:pPr>
      <w:r>
        <w:rPr>
          <w:rFonts w:ascii="Times New Roman"/>
          <w:b w:val="false"/>
          <w:i w:val="false"/>
          <w:color w:val="000000"/>
          <w:sz w:val="28"/>
        </w:rPr>
        <w:t>
      Сведения документов, удостоверяющих личность услугополучателя, услугодатель и работник Государственной корпорации получают из соответствующих государственных информационных систем через шлюз "электронного правительства" (далее - ШЭП).</w:t>
      </w:r>
    </w:p>
    <w:p>
      <w:pPr>
        <w:spacing w:after="0"/>
        <w:ind w:left="0"/>
        <w:jc w:val="both"/>
      </w:pPr>
      <w:r>
        <w:rPr>
          <w:rFonts w:ascii="Times New Roman"/>
          <w:b w:val="false"/>
          <w:i w:val="false"/>
          <w:color w:val="000000"/>
          <w:sz w:val="28"/>
        </w:rPr>
        <w:t xml:space="preserve">
      При приеме документов, перечисленных в </w:t>
      </w:r>
      <w:r>
        <w:rPr>
          <w:rFonts w:ascii="Times New Roman"/>
          <w:b w:val="false"/>
          <w:i w:val="false"/>
          <w:color w:val="000000"/>
          <w:sz w:val="28"/>
        </w:rPr>
        <w:t>пункте 9</w:t>
      </w:r>
      <w:r>
        <w:rPr>
          <w:rFonts w:ascii="Times New Roman"/>
          <w:b w:val="false"/>
          <w:i w:val="false"/>
          <w:color w:val="000000"/>
          <w:sz w:val="28"/>
        </w:rPr>
        <w:t xml:space="preserve"> Стандарта через Государственную корпорацию услугополучателю выдается расписка о приеме соответствующих документов.</w:t>
      </w:r>
    </w:p>
    <w:p>
      <w:pPr>
        <w:spacing w:after="0"/>
        <w:ind w:left="0"/>
        <w:jc w:val="both"/>
      </w:pPr>
      <w:r>
        <w:rPr>
          <w:rFonts w:ascii="Times New Roman"/>
          <w:b w:val="false"/>
          <w:i w:val="false"/>
          <w:color w:val="000000"/>
          <w:sz w:val="28"/>
        </w:rPr>
        <w:t>
      При обращении через портал – запрос в форме электронного документа, удостоверенного электронной цифровой подписью (далее - ЭЦП) услугополучателя либо с помощью ввода одноразового пароля. При наличии к запросу прилагаются электронные копии документов, подтверждающие запрашиваемые сведения.</w:t>
      </w:r>
    </w:p>
    <w:p>
      <w:pPr>
        <w:spacing w:after="0"/>
        <w:ind w:left="0"/>
        <w:jc w:val="both"/>
      </w:pPr>
      <w:r>
        <w:rPr>
          <w:rFonts w:ascii="Times New Roman"/>
          <w:b w:val="false"/>
          <w:i w:val="false"/>
          <w:color w:val="000000"/>
          <w:sz w:val="28"/>
        </w:rPr>
        <w:t>
      В случае обращения через портал услугополучателю в "личный кабинет" направляется статус о принятии запроса на государственную услугу, а также уведомление с указанием даты, времени и места получения результата оказания государственной услуги.</w:t>
      </w:r>
    </w:p>
    <w:p>
      <w:pPr>
        <w:spacing w:after="0"/>
        <w:ind w:left="0"/>
        <w:jc w:val="both"/>
      </w:pPr>
      <w:r>
        <w:rPr>
          <w:rFonts w:ascii="Times New Roman"/>
          <w:b w:val="false"/>
          <w:i w:val="false"/>
          <w:color w:val="000000"/>
          <w:sz w:val="28"/>
        </w:rPr>
        <w:t xml:space="preserve">
      В случаях представления услугополучателем неполного пакета документов, предусмотренных </w:t>
      </w:r>
      <w:r>
        <w:rPr>
          <w:rFonts w:ascii="Times New Roman"/>
          <w:b w:val="false"/>
          <w:i w:val="false"/>
          <w:color w:val="000000"/>
          <w:sz w:val="28"/>
        </w:rPr>
        <w:t>пунктом 9</w:t>
      </w:r>
      <w:r>
        <w:rPr>
          <w:rFonts w:ascii="Times New Roman"/>
          <w:b w:val="false"/>
          <w:i w:val="false"/>
          <w:color w:val="000000"/>
          <w:sz w:val="28"/>
        </w:rPr>
        <w:t xml:space="preserve"> Стандарта, и (или) документов с истекшим сроком действия услугодатель отказывает в приеме заявления.</w:t>
      </w:r>
    </w:p>
    <w:p>
      <w:pPr>
        <w:spacing w:after="0"/>
        <w:ind w:left="0"/>
        <w:jc w:val="both"/>
      </w:pPr>
      <w:r>
        <w:rPr>
          <w:rFonts w:ascii="Times New Roman"/>
          <w:b w:val="false"/>
          <w:i w:val="false"/>
          <w:color w:val="000000"/>
          <w:sz w:val="28"/>
        </w:rPr>
        <w:t>
      Услугодатель отказывает в оказании государственной услуги в случае установления недостоверности документов, представленных услугополучателем для получения государственной услуги, и (или) данных (сведений), содержащихся в них.</w:t>
      </w:r>
    </w:p>
    <w:p>
      <w:pPr>
        <w:spacing w:after="0"/>
        <w:ind w:left="0"/>
        <w:jc w:val="both"/>
      </w:pPr>
      <w:r>
        <w:rPr>
          <w:rFonts w:ascii="Times New Roman"/>
          <w:b w:val="false"/>
          <w:i w:val="false"/>
          <w:color w:val="000000"/>
          <w:sz w:val="28"/>
        </w:rPr>
        <w:t>
      В случае устранения услугополучателем причины отказа в оказании государственной услуги услугополучатель может обратиться повторно для получения государственной услуги в порядке, установленном законодательством Республики Казахстан.</w:t>
      </w:r>
    </w:p>
    <w:p>
      <w:pPr>
        <w:spacing w:after="0"/>
        <w:ind w:left="0"/>
        <w:jc w:val="both"/>
      </w:pPr>
      <w:r>
        <w:rPr>
          <w:rFonts w:ascii="Times New Roman"/>
          <w:b w:val="false"/>
          <w:i w:val="false"/>
          <w:color w:val="000000"/>
          <w:sz w:val="28"/>
        </w:rPr>
        <w:t>
      5. Содержание каждой процедуры (действия), входящей в состав процесса оказания государственной услуги, длительность его выполнения:</w:t>
      </w:r>
    </w:p>
    <w:p>
      <w:pPr>
        <w:spacing w:after="0"/>
        <w:ind w:left="0"/>
        <w:jc w:val="both"/>
      </w:pPr>
      <w:r>
        <w:rPr>
          <w:rFonts w:ascii="Times New Roman"/>
          <w:b w:val="false"/>
          <w:i w:val="false"/>
          <w:color w:val="000000"/>
          <w:sz w:val="28"/>
        </w:rPr>
        <w:t>
      принятие сотрудником отдела документационного обеспечения (канцелярии) услугодателя пакета документов услугополучателя и регистрация заявления;</w:t>
      </w:r>
    </w:p>
    <w:p>
      <w:pPr>
        <w:spacing w:after="0"/>
        <w:ind w:left="0"/>
        <w:jc w:val="both"/>
      </w:pPr>
      <w:r>
        <w:rPr>
          <w:rFonts w:ascii="Times New Roman"/>
          <w:b w:val="false"/>
          <w:i w:val="false"/>
          <w:color w:val="000000"/>
          <w:sz w:val="28"/>
        </w:rPr>
        <w:t>
      рассмотрение руководителем услугодателя и передача отделу исполнения запросов услугодателя;</w:t>
      </w:r>
    </w:p>
    <w:p>
      <w:pPr>
        <w:spacing w:after="0"/>
        <w:ind w:left="0"/>
        <w:jc w:val="both"/>
      </w:pPr>
      <w:r>
        <w:rPr>
          <w:rFonts w:ascii="Times New Roman"/>
          <w:b w:val="false"/>
          <w:i w:val="false"/>
          <w:color w:val="000000"/>
          <w:sz w:val="28"/>
        </w:rPr>
        <w:t>
      поиск сотрудником отдела исполнения запросов услугодателя информации и подготовка проекта результата оказания государственной услуги 11 (одиннадцать) рабочих дней при оказании государственной услуги услугодателем и через портал, а также через Государственную корпорацию;</w:t>
      </w:r>
    </w:p>
    <w:p>
      <w:pPr>
        <w:spacing w:after="0"/>
        <w:ind w:left="0"/>
        <w:jc w:val="both"/>
      </w:pPr>
      <w:r>
        <w:rPr>
          <w:rFonts w:ascii="Times New Roman"/>
          <w:b w:val="false"/>
          <w:i w:val="false"/>
          <w:color w:val="000000"/>
          <w:sz w:val="28"/>
        </w:rPr>
        <w:t>
      подписание руководителем услугодателя проекта результата оказания государственной услуги;</w:t>
      </w:r>
    </w:p>
    <w:p>
      <w:pPr>
        <w:spacing w:after="0"/>
        <w:ind w:left="0"/>
        <w:jc w:val="both"/>
      </w:pPr>
      <w:r>
        <w:rPr>
          <w:rFonts w:ascii="Times New Roman"/>
          <w:b w:val="false"/>
          <w:i w:val="false"/>
          <w:color w:val="000000"/>
          <w:sz w:val="28"/>
        </w:rPr>
        <w:t>
      выдача услугополучателю готового результата оказания государственной услуги.</w:t>
      </w:r>
    </w:p>
    <w:p>
      <w:pPr>
        <w:spacing w:after="0"/>
        <w:ind w:left="0"/>
        <w:jc w:val="both"/>
      </w:pPr>
      <w:r>
        <w:rPr>
          <w:rFonts w:ascii="Times New Roman"/>
          <w:b w:val="false"/>
          <w:i w:val="false"/>
          <w:color w:val="000000"/>
          <w:sz w:val="28"/>
        </w:rPr>
        <w:t>
      При обращении в Государственную корпорацию день приема документов не входит в срок оказания государственной услуги.</w:t>
      </w:r>
    </w:p>
    <w:p>
      <w:pPr>
        <w:spacing w:after="0"/>
        <w:ind w:left="0"/>
        <w:jc w:val="both"/>
      </w:pPr>
      <w:r>
        <w:rPr>
          <w:rFonts w:ascii="Times New Roman"/>
          <w:b w:val="false"/>
          <w:i w:val="false"/>
          <w:color w:val="000000"/>
          <w:sz w:val="28"/>
        </w:rPr>
        <w:t>
      Максимально допустимое время ожидания для сдачи документов услугополучателем услугодателю и в Государственную корпорацию – 15 (пятнадцать) минут.</w:t>
      </w:r>
    </w:p>
    <w:p>
      <w:pPr>
        <w:spacing w:after="0"/>
        <w:ind w:left="0"/>
        <w:jc w:val="both"/>
      </w:pPr>
      <w:r>
        <w:rPr>
          <w:rFonts w:ascii="Times New Roman"/>
          <w:b w:val="false"/>
          <w:i w:val="false"/>
          <w:color w:val="000000"/>
          <w:sz w:val="28"/>
        </w:rPr>
        <w:t>
      Максимально допустимое время обслуживания услугополучателя у услугодателя – 30 (тридцать) минут, в Государственной корпорации – 20 (двадцать) минут.</w:t>
      </w:r>
    </w:p>
    <w:p>
      <w:pPr>
        <w:spacing w:after="0"/>
        <w:ind w:left="0"/>
        <w:jc w:val="both"/>
      </w:pPr>
      <w:r>
        <w:rPr>
          <w:rFonts w:ascii="Times New Roman"/>
          <w:b w:val="false"/>
          <w:i w:val="false"/>
          <w:color w:val="000000"/>
          <w:sz w:val="28"/>
        </w:rPr>
        <w:t>
      6. Результат процедуры (действия) по оказанию государственной услуги, который служит основанием для начала выполнения следующей процедуры (действия):</w:t>
      </w:r>
    </w:p>
    <w:p>
      <w:pPr>
        <w:spacing w:after="0"/>
        <w:ind w:left="0"/>
        <w:jc w:val="both"/>
      </w:pPr>
      <w:r>
        <w:rPr>
          <w:rFonts w:ascii="Times New Roman"/>
          <w:b w:val="false"/>
          <w:i w:val="false"/>
          <w:color w:val="000000"/>
          <w:sz w:val="28"/>
        </w:rPr>
        <w:t>
      выдача услугополучателю документа, подтверждающего приҰм пакета документов;</w:t>
      </w:r>
    </w:p>
    <w:p>
      <w:pPr>
        <w:spacing w:after="0"/>
        <w:ind w:left="0"/>
        <w:jc w:val="both"/>
      </w:pPr>
      <w:r>
        <w:rPr>
          <w:rFonts w:ascii="Times New Roman"/>
          <w:b w:val="false"/>
          <w:i w:val="false"/>
          <w:color w:val="000000"/>
          <w:sz w:val="28"/>
        </w:rPr>
        <w:t>
      виза руководителя услугодателя;</w:t>
      </w:r>
    </w:p>
    <w:p>
      <w:pPr>
        <w:spacing w:after="0"/>
        <w:ind w:left="0"/>
        <w:jc w:val="both"/>
      </w:pPr>
      <w:r>
        <w:rPr>
          <w:rFonts w:ascii="Times New Roman"/>
          <w:b w:val="false"/>
          <w:i w:val="false"/>
          <w:color w:val="000000"/>
          <w:sz w:val="28"/>
        </w:rPr>
        <w:t>
      проект результата оказания государственной услуги;</w:t>
      </w:r>
    </w:p>
    <w:p>
      <w:pPr>
        <w:spacing w:after="0"/>
        <w:ind w:left="0"/>
        <w:jc w:val="both"/>
      </w:pPr>
      <w:r>
        <w:rPr>
          <w:rFonts w:ascii="Times New Roman"/>
          <w:b w:val="false"/>
          <w:i w:val="false"/>
          <w:color w:val="000000"/>
          <w:sz w:val="28"/>
        </w:rPr>
        <w:t>
      ознакомление руководителя услугодателя с результатом оказания государственной услуги и подписание проекта результата;</w:t>
      </w:r>
    </w:p>
    <w:p>
      <w:pPr>
        <w:spacing w:after="0"/>
        <w:ind w:left="0"/>
        <w:jc w:val="both"/>
      </w:pPr>
      <w:r>
        <w:rPr>
          <w:rFonts w:ascii="Times New Roman"/>
          <w:b w:val="false"/>
          <w:i w:val="false"/>
          <w:color w:val="000000"/>
          <w:sz w:val="28"/>
        </w:rPr>
        <w:t>
      роспись на втором экземпляре готового результата оказания государственной услуги.</w:t>
      </w:r>
    </w:p>
    <w:p>
      <w:pPr>
        <w:spacing w:after="0"/>
        <w:ind w:left="0"/>
        <w:jc w:val="left"/>
      </w:pPr>
      <w:r>
        <w:rPr>
          <w:rFonts w:ascii="Times New Roman"/>
          <w:b/>
          <w:i w:val="false"/>
          <w:color w:val="000000"/>
        </w:rPr>
        <w:t xml:space="preserve"> Глава 3. Описание порядка взаимодействия структурных</w:t>
      </w:r>
      <w:r>
        <w:br/>
      </w:r>
      <w:r>
        <w:rPr>
          <w:rFonts w:ascii="Times New Roman"/>
          <w:b/>
          <w:i w:val="false"/>
          <w:color w:val="000000"/>
        </w:rPr>
        <w:t>подразделений (работников) услугодателя в процессе оказания</w:t>
      </w:r>
      <w:r>
        <w:br/>
      </w:r>
      <w:r>
        <w:rPr>
          <w:rFonts w:ascii="Times New Roman"/>
          <w:b/>
          <w:i w:val="false"/>
          <w:color w:val="000000"/>
        </w:rPr>
        <w:t>государственной услуги</w:t>
      </w:r>
    </w:p>
    <w:p>
      <w:pPr>
        <w:spacing w:after="0"/>
        <w:ind w:left="0"/>
        <w:jc w:val="both"/>
      </w:pPr>
      <w:r>
        <w:rPr>
          <w:rFonts w:ascii="Times New Roman"/>
          <w:b w:val="false"/>
          <w:i w:val="false"/>
          <w:color w:val="000000"/>
          <w:sz w:val="28"/>
        </w:rPr>
        <w:t>
      7. Перечень структурных подразделений (работников) услугодателя, которые участвуют в процессе оказания государственной услуги:</w:t>
      </w:r>
    </w:p>
    <w:p>
      <w:pPr>
        <w:spacing w:after="0"/>
        <w:ind w:left="0"/>
        <w:jc w:val="both"/>
      </w:pPr>
      <w:r>
        <w:rPr>
          <w:rFonts w:ascii="Times New Roman"/>
          <w:b w:val="false"/>
          <w:i w:val="false"/>
          <w:color w:val="000000"/>
          <w:sz w:val="28"/>
        </w:rPr>
        <w:t>
      сотрудник отдела документационного обеспечения (канцелярии) услугодателя;</w:t>
      </w:r>
    </w:p>
    <w:p>
      <w:pPr>
        <w:spacing w:after="0"/>
        <w:ind w:left="0"/>
        <w:jc w:val="both"/>
      </w:pPr>
      <w:r>
        <w:rPr>
          <w:rFonts w:ascii="Times New Roman"/>
          <w:b w:val="false"/>
          <w:i w:val="false"/>
          <w:color w:val="000000"/>
          <w:sz w:val="28"/>
        </w:rPr>
        <w:t>
      руководитель услугодателя;</w:t>
      </w:r>
    </w:p>
    <w:p>
      <w:pPr>
        <w:spacing w:after="0"/>
        <w:ind w:left="0"/>
        <w:jc w:val="both"/>
      </w:pPr>
      <w:r>
        <w:rPr>
          <w:rFonts w:ascii="Times New Roman"/>
          <w:b w:val="false"/>
          <w:i w:val="false"/>
          <w:color w:val="000000"/>
          <w:sz w:val="28"/>
        </w:rPr>
        <w:t>
      руководитель отдела исполнения запросов услугодателя;</w:t>
      </w:r>
    </w:p>
    <w:p>
      <w:pPr>
        <w:spacing w:after="0"/>
        <w:ind w:left="0"/>
        <w:jc w:val="both"/>
      </w:pPr>
      <w:r>
        <w:rPr>
          <w:rFonts w:ascii="Times New Roman"/>
          <w:b w:val="false"/>
          <w:i w:val="false"/>
          <w:color w:val="000000"/>
          <w:sz w:val="28"/>
        </w:rPr>
        <w:t>
      сотрудник отдела исполнения запросов услугодателя.</w:t>
      </w:r>
    </w:p>
    <w:p>
      <w:pPr>
        <w:spacing w:after="0"/>
        <w:ind w:left="0"/>
        <w:jc w:val="both"/>
      </w:pPr>
      <w:r>
        <w:rPr>
          <w:rFonts w:ascii="Times New Roman"/>
          <w:b w:val="false"/>
          <w:i w:val="false"/>
          <w:color w:val="000000"/>
          <w:sz w:val="28"/>
        </w:rPr>
        <w:t xml:space="preserve">
      Пошаговые действия и решения при обращении услугополучателя через услугодателя, приведены в диаграмме № 1 функционального взаимодействия при оказании государственной услуги через услугодателя,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Регламенту.</w:t>
      </w:r>
    </w:p>
    <w:p>
      <w:pPr>
        <w:spacing w:after="0"/>
        <w:ind w:left="0"/>
        <w:jc w:val="left"/>
      </w:pPr>
      <w:r>
        <w:rPr>
          <w:rFonts w:ascii="Times New Roman"/>
          <w:b/>
          <w:i w:val="false"/>
          <w:color w:val="000000"/>
        </w:rPr>
        <w:t xml:space="preserve"> Глава 4. Описание порядка взаимодействия с Государственной корпорацией</w:t>
      </w:r>
      <w:r>
        <w:br/>
      </w:r>
      <w:r>
        <w:rPr>
          <w:rFonts w:ascii="Times New Roman"/>
          <w:b/>
          <w:i w:val="false"/>
          <w:color w:val="000000"/>
        </w:rPr>
        <w:t>"Правительство для граждан" и (или) иными услугодателями, а также порядка</w:t>
      </w:r>
      <w:r>
        <w:br/>
      </w:r>
      <w:r>
        <w:rPr>
          <w:rFonts w:ascii="Times New Roman"/>
          <w:b/>
          <w:i w:val="false"/>
          <w:color w:val="000000"/>
        </w:rPr>
        <w:t>использования информационных систем в процессе оказания</w:t>
      </w:r>
      <w:r>
        <w:br/>
      </w:r>
      <w:r>
        <w:rPr>
          <w:rFonts w:ascii="Times New Roman"/>
          <w:b/>
          <w:i w:val="false"/>
          <w:color w:val="000000"/>
        </w:rPr>
        <w:t>государственной услуги</w:t>
      </w:r>
    </w:p>
    <w:p>
      <w:pPr>
        <w:spacing w:after="0"/>
        <w:ind w:left="0"/>
        <w:jc w:val="both"/>
      </w:pPr>
      <w:r>
        <w:rPr>
          <w:rFonts w:ascii="Times New Roman"/>
          <w:b w:val="false"/>
          <w:i w:val="false"/>
          <w:color w:val="000000"/>
          <w:sz w:val="28"/>
        </w:rPr>
        <w:t>
      8. Описание порядка обращения в Государственную корпорацию "Правительство для граждан", длительность обработки запроса услугополучателя:</w:t>
      </w:r>
    </w:p>
    <w:p>
      <w:pPr>
        <w:spacing w:after="0"/>
        <w:ind w:left="0"/>
        <w:jc w:val="both"/>
      </w:pPr>
      <w:r>
        <w:rPr>
          <w:rFonts w:ascii="Times New Roman"/>
          <w:b w:val="false"/>
          <w:i w:val="false"/>
          <w:color w:val="000000"/>
          <w:sz w:val="28"/>
        </w:rPr>
        <w:t>
      услугополучатель подает документы оператору Государственной корпорации в операционном зале посредством "безбарьерного" обслуживания путем электронной очереди;</w:t>
      </w:r>
    </w:p>
    <w:p>
      <w:pPr>
        <w:spacing w:after="0"/>
        <w:ind w:left="0"/>
        <w:jc w:val="both"/>
      </w:pPr>
      <w:r>
        <w:rPr>
          <w:rFonts w:ascii="Times New Roman"/>
          <w:b w:val="false"/>
          <w:i w:val="false"/>
          <w:color w:val="000000"/>
          <w:sz w:val="28"/>
        </w:rPr>
        <w:t>
      процесс 1 – ввод оператором Государственной корпорации в автоматизированное рабочее место информационной системы (далее – АРМ ИС) Государственной корпорации логина и пароля (процесс авторизации) для оказания услуги;</w:t>
      </w:r>
    </w:p>
    <w:p>
      <w:pPr>
        <w:spacing w:after="0"/>
        <w:ind w:left="0"/>
        <w:jc w:val="both"/>
      </w:pPr>
      <w:r>
        <w:rPr>
          <w:rFonts w:ascii="Times New Roman"/>
          <w:b w:val="false"/>
          <w:i w:val="false"/>
          <w:color w:val="000000"/>
          <w:sz w:val="28"/>
        </w:rPr>
        <w:t>
      процесс 2 – выбор оператором Государственной корпорации государственной услуги, указанной в настоящем Регламенте, вывод на экран формы запроса для оказания услуги и ввод оператором Государственной корпорации данных услугополучателя, а также данных по доверенности представителя услугополучателя (при нотариально удостоверенной доверенности);</w:t>
      </w:r>
    </w:p>
    <w:p>
      <w:pPr>
        <w:spacing w:after="0"/>
        <w:ind w:left="0"/>
        <w:jc w:val="both"/>
      </w:pPr>
      <w:r>
        <w:rPr>
          <w:rFonts w:ascii="Times New Roman"/>
          <w:b w:val="false"/>
          <w:i w:val="false"/>
          <w:color w:val="000000"/>
          <w:sz w:val="28"/>
        </w:rPr>
        <w:t>
      процесс 3 – направление запроса через ШЭП в государственную базу данных физических лиц/государственную базу данных юридических лиц (далее - ГБД ФЛ/ГБД ЮЛ) о данных услугополучателя, а также в Единую нотариальную информационную систему (далее – ЕНИС) – о данных доверенности представителя услугополучателя;</w:t>
      </w:r>
    </w:p>
    <w:p>
      <w:pPr>
        <w:spacing w:after="0"/>
        <w:ind w:left="0"/>
        <w:jc w:val="both"/>
      </w:pPr>
      <w:r>
        <w:rPr>
          <w:rFonts w:ascii="Times New Roman"/>
          <w:b w:val="false"/>
          <w:i w:val="false"/>
          <w:color w:val="000000"/>
          <w:sz w:val="28"/>
        </w:rPr>
        <w:t>
      условие 1 – проверка наличия данных услугополучателя в ГБД ФЛ и данных доверенности в ЕНИС;</w:t>
      </w:r>
    </w:p>
    <w:p>
      <w:pPr>
        <w:spacing w:after="0"/>
        <w:ind w:left="0"/>
        <w:jc w:val="both"/>
      </w:pPr>
      <w:r>
        <w:rPr>
          <w:rFonts w:ascii="Times New Roman"/>
          <w:b w:val="false"/>
          <w:i w:val="false"/>
          <w:color w:val="000000"/>
          <w:sz w:val="28"/>
        </w:rPr>
        <w:t>
      процесс 4 – формирование сообщения о невозможности получения данных в связи с отсутствием данных услугополучателя в ГБД ФЛ/ГБД ЮЛ и данных доверенности в ЕНИС;</w:t>
      </w:r>
    </w:p>
    <w:p>
      <w:pPr>
        <w:spacing w:after="0"/>
        <w:ind w:left="0"/>
        <w:jc w:val="both"/>
      </w:pPr>
      <w:r>
        <w:rPr>
          <w:rFonts w:ascii="Times New Roman"/>
          <w:b w:val="false"/>
          <w:i w:val="false"/>
          <w:color w:val="000000"/>
          <w:sz w:val="28"/>
        </w:rPr>
        <w:t>
      процесс 5 – заполнение оператором Государственной корпорации формы запроса в части отметки о наличии документов в бумажной форме и сканирование документов, предоставленных услугополучателем, прикрепление их к форме запроса и удостоверение посредством ЭЦП заполненной формы (введенных данных) запроса на оказание государственной услуги;</w:t>
      </w:r>
    </w:p>
    <w:p>
      <w:pPr>
        <w:spacing w:after="0"/>
        <w:ind w:left="0"/>
        <w:jc w:val="both"/>
      </w:pPr>
      <w:r>
        <w:rPr>
          <w:rFonts w:ascii="Times New Roman"/>
          <w:b w:val="false"/>
          <w:i w:val="false"/>
          <w:color w:val="000000"/>
          <w:sz w:val="28"/>
        </w:rPr>
        <w:t>
      процесс 6 – направление электронного документа (запроса услугополучателя), удостоверенного (подписанного) ЭЦП оператора Государственной корпорации, через ШЭП в АРМ регионального шлюза "электронного правительства" (далее – РШЭП), либо направление пакета документов услугодателю в бумажном виде через курьерскую связь;</w:t>
      </w:r>
    </w:p>
    <w:p>
      <w:pPr>
        <w:spacing w:after="0"/>
        <w:ind w:left="0"/>
        <w:jc w:val="both"/>
      </w:pPr>
      <w:r>
        <w:rPr>
          <w:rFonts w:ascii="Times New Roman"/>
          <w:b w:val="false"/>
          <w:i w:val="false"/>
          <w:color w:val="000000"/>
          <w:sz w:val="28"/>
        </w:rPr>
        <w:t>
      процесс 7 – регистрация электронного документа в АРМ услугодателя;</w:t>
      </w:r>
    </w:p>
    <w:p>
      <w:pPr>
        <w:spacing w:after="0"/>
        <w:ind w:left="0"/>
        <w:jc w:val="both"/>
      </w:pPr>
      <w:r>
        <w:rPr>
          <w:rFonts w:ascii="Times New Roman"/>
          <w:b w:val="false"/>
          <w:i w:val="false"/>
          <w:color w:val="000000"/>
          <w:sz w:val="28"/>
        </w:rPr>
        <w:t xml:space="preserve">
      условие 2 – проверка (обработка) услугодателем соответствия приложенных услугополучателем документов, указанных в </w:t>
      </w:r>
      <w:r>
        <w:rPr>
          <w:rFonts w:ascii="Times New Roman"/>
          <w:b w:val="false"/>
          <w:i w:val="false"/>
          <w:color w:val="000000"/>
          <w:sz w:val="28"/>
        </w:rPr>
        <w:t>пункте 9</w:t>
      </w:r>
      <w:r>
        <w:rPr>
          <w:rFonts w:ascii="Times New Roman"/>
          <w:b w:val="false"/>
          <w:i w:val="false"/>
          <w:color w:val="000000"/>
          <w:sz w:val="28"/>
        </w:rPr>
        <w:t xml:space="preserve"> Стандарта являющиеся основанием для оказания государственной услуги;</w:t>
      </w:r>
    </w:p>
    <w:p>
      <w:pPr>
        <w:spacing w:after="0"/>
        <w:ind w:left="0"/>
        <w:jc w:val="both"/>
      </w:pPr>
      <w:r>
        <w:rPr>
          <w:rFonts w:ascii="Times New Roman"/>
          <w:b w:val="false"/>
          <w:i w:val="false"/>
          <w:color w:val="000000"/>
          <w:sz w:val="28"/>
        </w:rPr>
        <w:t>
      процесс 8 – формирование сообщения об отказе в запрашиваемой государственной услуге в связи с имеющимися нарушениями в документах услугополучателя;</w:t>
      </w:r>
    </w:p>
    <w:p>
      <w:pPr>
        <w:spacing w:after="0"/>
        <w:ind w:left="0"/>
        <w:jc w:val="both"/>
      </w:pPr>
      <w:r>
        <w:rPr>
          <w:rFonts w:ascii="Times New Roman"/>
          <w:b w:val="false"/>
          <w:i w:val="false"/>
          <w:color w:val="000000"/>
          <w:sz w:val="28"/>
        </w:rPr>
        <w:t>
      процесс 9 – получение услугополучателем через оператора Государственной корпорации результата государственной услуги (архивной справки).</w:t>
      </w:r>
    </w:p>
    <w:p>
      <w:pPr>
        <w:spacing w:after="0"/>
        <w:ind w:left="0"/>
        <w:jc w:val="both"/>
      </w:pPr>
      <w:r>
        <w:rPr>
          <w:rFonts w:ascii="Times New Roman"/>
          <w:b w:val="false"/>
          <w:i w:val="false"/>
          <w:color w:val="000000"/>
          <w:sz w:val="28"/>
        </w:rPr>
        <w:t xml:space="preserve">
      Пошаговые действия и решения услугодателя при оказании государственной услуги через Государственную корпорацию, приведены в диаграмме № 2 функционального взаимодействия при оказании государственной услуги через Государственную корпорацию,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Регламенту.</w:t>
      </w:r>
    </w:p>
    <w:p>
      <w:pPr>
        <w:spacing w:after="0"/>
        <w:ind w:left="0"/>
        <w:jc w:val="both"/>
      </w:pPr>
      <w:r>
        <w:rPr>
          <w:rFonts w:ascii="Times New Roman"/>
          <w:b w:val="false"/>
          <w:i w:val="false"/>
          <w:color w:val="000000"/>
          <w:sz w:val="28"/>
        </w:rPr>
        <w:t>
      9. Описание порядка обращения и последовательности процедур (действий) услугодателя и услугополучателя при оказании государственной услуги через портал:</w:t>
      </w:r>
    </w:p>
    <w:p>
      <w:pPr>
        <w:spacing w:after="0"/>
        <w:ind w:left="0"/>
        <w:jc w:val="both"/>
      </w:pPr>
      <w:r>
        <w:rPr>
          <w:rFonts w:ascii="Times New Roman"/>
          <w:b w:val="false"/>
          <w:i w:val="false"/>
          <w:color w:val="000000"/>
          <w:sz w:val="28"/>
        </w:rPr>
        <w:t>
      1) услугополучатель осуществляет регистрацию на портале с помощью индивидуальных идентификационных или бизнес-идентификационных номеров (далее – ИИН/БИН) и пароля (осуществляется для незарегистрированных услугополучателей на портале);</w:t>
      </w:r>
    </w:p>
    <w:p>
      <w:pPr>
        <w:spacing w:after="0"/>
        <w:ind w:left="0"/>
        <w:jc w:val="both"/>
      </w:pPr>
      <w:r>
        <w:rPr>
          <w:rFonts w:ascii="Times New Roman"/>
          <w:b w:val="false"/>
          <w:i w:val="false"/>
          <w:color w:val="000000"/>
          <w:sz w:val="28"/>
        </w:rPr>
        <w:t>
      процесс 1 – ввод услугополучателем ИИН/БИН и пароля (процесс авторизации) на портале для получения государственной услуги;</w:t>
      </w:r>
    </w:p>
    <w:p>
      <w:pPr>
        <w:spacing w:after="0"/>
        <w:ind w:left="0"/>
        <w:jc w:val="both"/>
      </w:pPr>
      <w:r>
        <w:rPr>
          <w:rFonts w:ascii="Times New Roman"/>
          <w:b w:val="false"/>
          <w:i w:val="false"/>
          <w:color w:val="000000"/>
          <w:sz w:val="28"/>
        </w:rPr>
        <w:t>
      условие 1 – проверка на портале подлинности данных о зарегистрированном услугополучателе через ИИН/БИН и пароля;</w:t>
      </w:r>
    </w:p>
    <w:p>
      <w:pPr>
        <w:spacing w:after="0"/>
        <w:ind w:left="0"/>
        <w:jc w:val="both"/>
      </w:pPr>
      <w:r>
        <w:rPr>
          <w:rFonts w:ascii="Times New Roman"/>
          <w:b w:val="false"/>
          <w:i w:val="false"/>
          <w:color w:val="000000"/>
          <w:sz w:val="28"/>
        </w:rPr>
        <w:t>
      процесс 2 – формирование на портале сообщения об отказе в авторизации в связи с имеющимися нарушениями в данных услугополучателя;</w:t>
      </w:r>
    </w:p>
    <w:p>
      <w:pPr>
        <w:spacing w:after="0"/>
        <w:ind w:left="0"/>
        <w:jc w:val="both"/>
      </w:pPr>
      <w:r>
        <w:rPr>
          <w:rFonts w:ascii="Times New Roman"/>
          <w:b w:val="false"/>
          <w:i w:val="false"/>
          <w:color w:val="000000"/>
          <w:sz w:val="28"/>
        </w:rPr>
        <w:t xml:space="preserve">
      процесс 3 – выбор услугополучателем государственной услуги, указанной в настоящем Регламенте, вывод на экран формы запроса для оказания государственной услуги и заполнение услугополучателем формы (ввод данных) с учетом ее структуры и форматных требований, прикрепление к форме запроса необходимых электронных копий документов, указанных в </w:t>
      </w:r>
      <w:r>
        <w:rPr>
          <w:rFonts w:ascii="Times New Roman"/>
          <w:b w:val="false"/>
          <w:i w:val="false"/>
          <w:color w:val="000000"/>
          <w:sz w:val="28"/>
        </w:rPr>
        <w:t>пункте 9</w:t>
      </w:r>
      <w:r>
        <w:rPr>
          <w:rFonts w:ascii="Times New Roman"/>
          <w:b w:val="false"/>
          <w:i w:val="false"/>
          <w:color w:val="000000"/>
          <w:sz w:val="28"/>
        </w:rPr>
        <w:t xml:space="preserve"> Стандарта, а также выбор услугополучателем регистрационного свидетельства ЭЦП для удостоверения (подписания) запроса;</w:t>
      </w:r>
    </w:p>
    <w:p>
      <w:pPr>
        <w:spacing w:after="0"/>
        <w:ind w:left="0"/>
        <w:jc w:val="both"/>
      </w:pPr>
      <w:r>
        <w:rPr>
          <w:rFonts w:ascii="Times New Roman"/>
          <w:b w:val="false"/>
          <w:i w:val="false"/>
          <w:color w:val="000000"/>
          <w:sz w:val="28"/>
        </w:rPr>
        <w:t>
      условие 2 – проверка на портале срока действия регистрационного свидетельства ЭЦП и отсутствия в списке отозванных (аннулированных) регистрационных свидетельств, а также соответствия идентификационных данных (между ИИН/БИН указанным в запросе, и ИИН/БИН указанным в регистрационном свидетельстве ЭЦП);</w:t>
      </w:r>
    </w:p>
    <w:p>
      <w:pPr>
        <w:spacing w:after="0"/>
        <w:ind w:left="0"/>
        <w:jc w:val="both"/>
      </w:pPr>
      <w:r>
        <w:rPr>
          <w:rFonts w:ascii="Times New Roman"/>
          <w:b w:val="false"/>
          <w:i w:val="false"/>
          <w:color w:val="000000"/>
          <w:sz w:val="28"/>
        </w:rPr>
        <w:t>
      процесс 4 – формирование сообщения об отказе в запрашиваемой государственной услуге в связи с не подтверждением подлинности ЭЦП услугополучателя;</w:t>
      </w:r>
    </w:p>
    <w:p>
      <w:pPr>
        <w:spacing w:after="0"/>
        <w:ind w:left="0"/>
        <w:jc w:val="both"/>
      </w:pPr>
      <w:r>
        <w:rPr>
          <w:rFonts w:ascii="Times New Roman"/>
          <w:b w:val="false"/>
          <w:i w:val="false"/>
          <w:color w:val="000000"/>
          <w:sz w:val="28"/>
        </w:rPr>
        <w:t>
      процесс 5 – удостоверение (подписание) запроса для оказания государственной услуги посредством ЭЦП услугополучателя и направление электронного документа (запроса) через ШЭП в АРМ услугодателя для обработки услугодателем;</w:t>
      </w:r>
    </w:p>
    <w:p>
      <w:pPr>
        <w:spacing w:after="0"/>
        <w:ind w:left="0"/>
        <w:jc w:val="both"/>
      </w:pPr>
      <w:r>
        <w:rPr>
          <w:rFonts w:ascii="Times New Roman"/>
          <w:b w:val="false"/>
          <w:i w:val="false"/>
          <w:color w:val="000000"/>
          <w:sz w:val="28"/>
        </w:rPr>
        <w:t>
      процесс 6 – регистрация электронного документа в АРМ услугодателя;</w:t>
      </w:r>
    </w:p>
    <w:p>
      <w:pPr>
        <w:spacing w:after="0"/>
        <w:ind w:left="0"/>
        <w:jc w:val="both"/>
      </w:pPr>
      <w:r>
        <w:rPr>
          <w:rFonts w:ascii="Times New Roman"/>
          <w:b w:val="false"/>
          <w:i w:val="false"/>
          <w:color w:val="000000"/>
          <w:sz w:val="28"/>
        </w:rPr>
        <w:t xml:space="preserve">
      условие 3 – проверка (обработка) услугодателем соответствия приложенных услугополучателем документов, указанных в </w:t>
      </w:r>
      <w:r>
        <w:rPr>
          <w:rFonts w:ascii="Times New Roman"/>
          <w:b w:val="false"/>
          <w:i w:val="false"/>
          <w:color w:val="000000"/>
          <w:sz w:val="28"/>
        </w:rPr>
        <w:t>пункте 9</w:t>
      </w:r>
      <w:r>
        <w:rPr>
          <w:rFonts w:ascii="Times New Roman"/>
          <w:b w:val="false"/>
          <w:i w:val="false"/>
          <w:color w:val="000000"/>
          <w:sz w:val="28"/>
        </w:rPr>
        <w:t xml:space="preserve"> Стандарта являющиеся основанием для оказания государственной услуги;</w:t>
      </w:r>
    </w:p>
    <w:p>
      <w:pPr>
        <w:spacing w:after="0"/>
        <w:ind w:left="0"/>
        <w:jc w:val="both"/>
      </w:pPr>
      <w:r>
        <w:rPr>
          <w:rFonts w:ascii="Times New Roman"/>
          <w:b w:val="false"/>
          <w:i w:val="false"/>
          <w:color w:val="000000"/>
          <w:sz w:val="28"/>
        </w:rPr>
        <w:t>
      процесс 7 – формирование сообщения об отказе в запрашиваемой государственной услуге, в связи с имеющимися нарушениями в документах услугополучателя;</w:t>
      </w:r>
    </w:p>
    <w:p>
      <w:pPr>
        <w:spacing w:after="0"/>
        <w:ind w:left="0"/>
        <w:jc w:val="both"/>
      </w:pPr>
      <w:r>
        <w:rPr>
          <w:rFonts w:ascii="Times New Roman"/>
          <w:b w:val="false"/>
          <w:i w:val="false"/>
          <w:color w:val="000000"/>
          <w:sz w:val="28"/>
        </w:rPr>
        <w:t>
      процесс 8 – направление в "личный кабинет" уведомления с указанием даты, времени и места получения результата государственной услуги.</w:t>
      </w:r>
    </w:p>
    <w:p>
      <w:pPr>
        <w:spacing w:after="0"/>
        <w:ind w:left="0"/>
        <w:jc w:val="both"/>
      </w:pPr>
      <w:r>
        <w:rPr>
          <w:rFonts w:ascii="Times New Roman"/>
          <w:b w:val="false"/>
          <w:i w:val="false"/>
          <w:color w:val="000000"/>
          <w:sz w:val="28"/>
        </w:rPr>
        <w:t xml:space="preserve">
      Пошаговые действия и решения при обращении услугополучателя через портал, приведены в диаграмме № 3 функционального взаимодействия при оказании государственной услуги через портал,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Регламенту.</w:t>
      </w:r>
    </w:p>
    <w:p>
      <w:pPr>
        <w:spacing w:after="0"/>
        <w:ind w:left="0"/>
        <w:jc w:val="both"/>
      </w:pPr>
      <w:r>
        <w:rPr>
          <w:rFonts w:ascii="Times New Roman"/>
          <w:b w:val="false"/>
          <w:i w:val="false"/>
          <w:color w:val="000000"/>
          <w:sz w:val="28"/>
        </w:rPr>
        <w:t xml:space="preserve">
      10. Подробное описание последовательности процедур (действий), взаимодействий структурных подразделений (работников) услугодателя в процессе оказания государственной услуги, а также описание порядка взаимодействия с иными услугодателями и (или) Государственной корпорацией "Правительство для граждан" и порядка использования информационных систем в процессе оказания государственной услуги отражены в справочнике бизнес-процессов оказания государственной услуги,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Регламенту.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регламенту</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архивных справок"</w:t>
            </w:r>
          </w:p>
        </w:tc>
      </w:tr>
    </w:tbl>
    <w:p>
      <w:pPr>
        <w:spacing w:after="0"/>
        <w:ind w:left="0"/>
        <w:jc w:val="left"/>
      </w:pPr>
      <w:r>
        <w:rPr>
          <w:rFonts w:ascii="Times New Roman"/>
          <w:b/>
          <w:i w:val="false"/>
          <w:color w:val="000000"/>
        </w:rPr>
        <w:t xml:space="preserve"> Диаграмма № 1 функционального взаимодействия при оказании</w:t>
      </w:r>
      <w:r>
        <w:br/>
      </w:r>
      <w:r>
        <w:rPr>
          <w:rFonts w:ascii="Times New Roman"/>
          <w:b/>
          <w:i w:val="false"/>
          <w:color w:val="000000"/>
        </w:rPr>
        <w:t xml:space="preserve">государственной услуги через услугодателя </w:t>
      </w:r>
    </w:p>
    <w:p>
      <w:pPr>
        <w:spacing w:after="0"/>
        <w:ind w:left="0"/>
        <w:jc w:val="both"/>
      </w:pPr>
      <w:r>
        <w:drawing>
          <wp:inline distT="0" distB="0" distL="0" distR="0">
            <wp:extent cx="7810500" cy="429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4292600"/>
                    </a:xfrm>
                    <a:prstGeom prst="rect">
                      <a:avLst/>
                    </a:prstGeom>
                  </pic:spPr>
                </pic:pic>
              </a:graphicData>
            </a:graphic>
          </wp:inline>
        </w:drawing>
      </w:r>
    </w:p>
    <w:p>
      <w:pPr>
        <w:spacing w:after="0"/>
        <w:ind w:left="0"/>
        <w:jc w:val="left"/>
      </w:pPr>
      <w:r>
        <w:br/>
      </w:r>
    </w:p>
    <w:bookmarkStart w:name="z7" w:id="4"/>
    <w:p>
      <w:pPr>
        <w:spacing w:after="0"/>
        <w:ind w:left="0"/>
        <w:jc w:val="left"/>
      </w:pPr>
      <w:r>
        <w:rPr>
          <w:rFonts w:ascii="Times New Roman"/>
          <w:b/>
          <w:i w:val="false"/>
          <w:color w:val="000000"/>
        </w:rPr>
        <w:t xml:space="preserve"> Диаграмма № 2 функционального взаимодействия при оказании</w:t>
      </w:r>
      <w:r>
        <w:br/>
      </w:r>
      <w:r>
        <w:rPr>
          <w:rFonts w:ascii="Times New Roman"/>
          <w:b/>
          <w:i w:val="false"/>
          <w:color w:val="000000"/>
        </w:rPr>
        <w:t>государственной услуги через Государственную корпорацию</w:t>
      </w:r>
      <w:r>
        <w:br/>
      </w:r>
      <w:r>
        <w:rPr>
          <w:rFonts w:ascii="Times New Roman"/>
          <w:b/>
          <w:i w:val="false"/>
          <w:color w:val="000000"/>
        </w:rPr>
        <w:t xml:space="preserve">"Правительство для граждан" </w:t>
      </w:r>
    </w:p>
    <w:bookmarkEnd w:id="4"/>
    <w:p>
      <w:pPr>
        <w:spacing w:after="0"/>
        <w:ind w:left="0"/>
        <w:jc w:val="both"/>
      </w:pPr>
      <w:r>
        <w:drawing>
          <wp:inline distT="0" distB="0" distL="0" distR="0">
            <wp:extent cx="7810500" cy="406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4064000"/>
                    </a:xfrm>
                    <a:prstGeom prst="rect">
                      <a:avLst/>
                    </a:prstGeom>
                  </pic:spPr>
                </pic:pic>
              </a:graphicData>
            </a:graphic>
          </wp:inline>
        </w:drawing>
      </w:r>
    </w:p>
    <w:p>
      <w:pPr>
        <w:spacing w:after="0"/>
        <w:ind w:left="0"/>
        <w:jc w:val="left"/>
      </w:pPr>
      <w:r>
        <w:br/>
      </w:r>
    </w:p>
    <w:bookmarkStart w:name="z8" w:id="5"/>
    <w:p>
      <w:pPr>
        <w:spacing w:after="0"/>
        <w:ind w:left="0"/>
        <w:jc w:val="left"/>
      </w:pPr>
      <w:r>
        <w:rPr>
          <w:rFonts w:ascii="Times New Roman"/>
          <w:b/>
          <w:i w:val="false"/>
          <w:color w:val="000000"/>
        </w:rPr>
        <w:t xml:space="preserve"> Диаграмма № 3 функционального взаимодействия при оказании</w:t>
      </w:r>
      <w:r>
        <w:br/>
      </w:r>
      <w:r>
        <w:rPr>
          <w:rFonts w:ascii="Times New Roman"/>
          <w:b/>
          <w:i w:val="false"/>
          <w:color w:val="000000"/>
        </w:rPr>
        <w:t>государственной услуги через веб-портал "электронного правительства"</w:t>
      </w:r>
    </w:p>
    <w:bookmarkEnd w:id="5"/>
    <w:p>
      <w:pPr>
        <w:spacing w:after="0"/>
        <w:ind w:left="0"/>
        <w:jc w:val="left"/>
      </w:pPr>
      <w:r>
        <w:br/>
      </w:r>
    </w:p>
    <w:p>
      <w:pPr>
        <w:spacing w:after="0"/>
        <w:ind w:left="0"/>
        <w:jc w:val="both"/>
      </w:pPr>
      <w:r>
        <w:drawing>
          <wp:inline distT="0" distB="0" distL="0" distR="0">
            <wp:extent cx="7810500" cy="397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3975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Условные обозначения:</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797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797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регламенту</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архивных справок"</w:t>
            </w:r>
          </w:p>
        </w:tc>
      </w:tr>
    </w:tbl>
    <w:p>
      <w:pPr>
        <w:spacing w:after="0"/>
        <w:ind w:left="0"/>
        <w:jc w:val="left"/>
      </w:pPr>
      <w:r>
        <w:rPr>
          <w:rFonts w:ascii="Times New Roman"/>
          <w:b/>
          <w:i w:val="false"/>
          <w:color w:val="000000"/>
        </w:rPr>
        <w:t xml:space="preserve"> Справочник</w:t>
      </w:r>
      <w:r>
        <w:br/>
      </w:r>
      <w:r>
        <w:rPr>
          <w:rFonts w:ascii="Times New Roman"/>
          <w:b/>
          <w:i w:val="false"/>
          <w:color w:val="000000"/>
        </w:rPr>
        <w:t>бизнес-процессов оказания государственной услуги</w:t>
      </w:r>
      <w:r>
        <w:br/>
      </w:r>
      <w:r>
        <w:rPr>
          <w:rFonts w:ascii="Times New Roman"/>
          <w:b/>
          <w:i w:val="false"/>
          <w:color w:val="000000"/>
        </w:rPr>
        <w:t xml:space="preserve">"Выдача архивных справок" </w:t>
      </w:r>
    </w:p>
    <w:p>
      <w:pPr>
        <w:spacing w:after="0"/>
        <w:ind w:left="0"/>
        <w:jc w:val="both"/>
      </w:pPr>
      <w:r>
        <w:drawing>
          <wp:inline distT="0" distB="0" distL="0" distR="0">
            <wp:extent cx="7810500" cy="417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4178300"/>
                    </a:xfrm>
                    <a:prstGeom prst="rect">
                      <a:avLst/>
                    </a:prstGeom>
                  </pic:spPr>
                </pic:pic>
              </a:graphicData>
            </a:graphic>
          </wp:inline>
        </w:drawing>
      </w:r>
    </w:p>
    <w:p>
      <w:pPr>
        <w:spacing w:after="0"/>
        <w:ind w:left="0"/>
        <w:jc w:val="left"/>
      </w:pPr>
      <w:r>
        <w:br/>
      </w:r>
    </w:p>
    <w:p>
      <w:pPr>
        <w:spacing w:after="0"/>
        <w:ind w:left="0"/>
        <w:jc w:val="both"/>
      </w:pPr>
      <w:r>
        <w:rPr>
          <w:rFonts w:ascii="Times New Roman"/>
          <w:b w:val="false"/>
          <w:i w:val="false"/>
          <w:color w:val="000000"/>
          <w:sz w:val="28"/>
        </w:rPr>
        <w:t xml:space="preserve">
      </w:t>
      </w:r>
      <w:r>
        <w:rPr>
          <w:rFonts w:ascii="Times New Roman"/>
          <w:b/>
          <w:i w:val="false"/>
          <w:color w:val="000000"/>
          <w:sz w:val="28"/>
        </w:rPr>
        <w:t>Условные обозначения:</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33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433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1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header.xml" Type="http://schemas.openxmlformats.org/officeDocument/2006/relationships/header" Id="rId1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