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94e6" w14:textId="3cb94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Актогайского района от 23 февраля 2016 года № 30 "Об определении для заказчиков единого организатора государственных закупок и бюджетных программ, товаров, работ, услуг, по которым организация и проведение государственных закупок выполняется единым организатором"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Актогайского района Павлодарской области от 19 января 2017 года № 15. Зарегистрировано Департаментом юстиции Павлодарской области 6 февраля 2017 года № 5359. Утратило силу постановлением акимата Актогайского района Павлодарской области от 16 июля 2019 года № 182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Актогайского района Павлодарской области от 16.07.2019 № 182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4 декабря 2015 года "О государственных закупках", в целях оптимального, эффективного использования бюджетных средств, акимат Актогайского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постановление</w:t>
      </w:r>
      <w:r>
        <w:rPr>
          <w:rFonts w:ascii="Times New Roman"/>
          <w:b w:val="false"/>
          <w:i w:val="false"/>
          <w:color w:val="000000"/>
          <w:sz w:val="28"/>
        </w:rPr>
        <w:t xml:space="preserve"> акимата Актогайского района от 23 февраля 2016 года № 30 "Об определении для заказчиков единого организатора государственных закупок и бюджетных программ, товаров, работ, услуг, по которым организация и проведение государственных закупок выполняется единым организатором" (зарегистрировано в Реестре государственной регистрации нормативных правовых актов № 4989, опубликовано 17 марта 2016 года в районных газетах "Ауыл тынысы" № 11 и "Пульс села" № 11) внести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курирующего финансовые вопросы.</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Амирин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Актогайского района</w:t>
            </w:r>
            <w:r>
              <w:br/>
            </w:r>
            <w:r>
              <w:rPr>
                <w:rFonts w:ascii="Times New Roman"/>
                <w:b w:val="false"/>
                <w:i w:val="false"/>
                <w:color w:val="000000"/>
                <w:sz w:val="20"/>
              </w:rPr>
              <w:t>от "19" января 2017 года № 15</w:t>
            </w:r>
          </w:p>
        </w:tc>
      </w:tr>
    </w:tbl>
    <w:bookmarkStart w:name="z7" w:id="4"/>
    <w:p>
      <w:pPr>
        <w:spacing w:after="0"/>
        <w:ind w:left="0"/>
        <w:jc w:val="left"/>
      </w:pPr>
      <w:r>
        <w:rPr>
          <w:rFonts w:ascii="Times New Roman"/>
          <w:b/>
          <w:i w:val="false"/>
          <w:color w:val="000000"/>
        </w:rPr>
        <w:t xml:space="preserve"> Бюджетные программы, товары, работы, услуги,</w:t>
      </w:r>
      <w:r>
        <w:br/>
      </w:r>
      <w:r>
        <w:rPr>
          <w:rFonts w:ascii="Times New Roman"/>
          <w:b/>
          <w:i w:val="false"/>
          <w:color w:val="000000"/>
        </w:rPr>
        <w:t>по которым организация и проведение государственных закупок</w:t>
      </w:r>
      <w:r>
        <w:br/>
      </w:r>
      <w:r>
        <w:rPr>
          <w:rFonts w:ascii="Times New Roman"/>
          <w:b/>
          <w:i w:val="false"/>
          <w:color w:val="000000"/>
        </w:rPr>
        <w:t>выполняется единым организатором государственных закупок</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136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в рамках бюджетных программ развития, предусматривающих реализацию бюджетных инвестиционных проектов, местным исполнительным органом района</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если сумма лота (пункта плана), выделенная на закуп превышает четырехтысячекратный месячный расчетный показатель, но не более стотысячекратного месячного расчетного показателя, установленного на соответствующий финансовый год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