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88b5c" w14:textId="fe88b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от 14 октября 2015 года № 433 "Об утверждении регламента государственной услуги "Выдача документов о прохождении подготовки, повышении квалификации и переподготовке кадров отрасли здравоохранения"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25 января 2017 года № 30. Зарегистрировано Департаментом юстиции Костанайской области 23 февраля 2017 года № 6839. Утратило силу постановлением акимата Костанайской области от 20 января 2020 года № 16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Костанайской области от 20.01.2020 </w:t>
      </w:r>
      <w:r>
        <w:rPr>
          <w:rFonts w:ascii="Times New Roman"/>
          <w:b w:val="false"/>
          <w:i w:val="false"/>
          <w:color w:val="ff0000"/>
          <w:sz w:val="28"/>
        </w:rPr>
        <w:t>№ 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акимат Костанайской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Костанайской области от 14 октября 2015 года № 433 "Об утверждении регламента государственной услуги "Выдача документов о прохождении подготовки, повышении квалификации и переподготовке кадров отрасли здравоохранения" (зарегистрировано в Реестре государственной регистрации нормативных правовых актов под № 5979, опубликовано 13 ноября 2015 года в информационно-правовой системе "Әділет") следующие изменения: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регламенте государственной услуги "</w:t>
      </w:r>
      <w:r>
        <w:rPr>
          <w:rFonts w:ascii="Times New Roman"/>
          <w:b w:val="false"/>
          <w:i w:val="false"/>
          <w:color w:val="000000"/>
          <w:sz w:val="28"/>
        </w:rPr>
        <w:t>Выдача документов о прохождении подготовки, повышении квалификации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переподготовке кадров отрасли здравоохранения", утвержденном вышеуказанным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Результат оказания государственной услуги – документы о прохождении подготовки, повышении квалификации и переподготовки кадров отрасли здравоохранения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11 ноября 2009 года № 691 "Об утверждении Правил повышения квалификации и переподготовки медицинских и фармацевтических кадров и квалификационных требований к организациям, реализующим программы дополнительного медицинского и фармацевтического образования" (зарегистрированный в Реестре государственной регистрации нормативных правовых актов за № 5904), либо мотивированный ответ об отказе в оказании государственной услуги по основанию, установленному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Стандарта.".;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раздел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Основанием для начала процедуры (действия) по оказанию государственной услуги является принятие услугодателем заявления услугополучателя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"Выдача документов о прохождении подготовки, повышении квалификации и переподготовке кадров отрасли здравоохранения", утвержденному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28 апреля 2015 года № 297 "Об утверждении стандарта государственной услуги "Выдача документов о прохождении подготовки, повышении квалификации и переподготовке кадров отрасли здравоохранения" (зарегистрированный в Реестре государственной регистрации нормативных правовых актов за № 11303) (далее - Стандарт) и пакета документов (далее - пакет документов),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секретарь-делопроизводитель осуществляет прием пакета документов и передает его лаборанту, не более 30 (тридцать) минут.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прием пакета документов и передача принятого пакета документов лаборанту;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лаборант рассматривает пакет документов, подготавливает проект результата оказания государственной услуги и передает руководителю услугодателя, 1 (один) рабочий день.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проект результата оказания государственной услуги;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подписывает результат оказания государственной услуги и передает его лаборанту, 1 (один) рабочий день.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подписанный результат оказания государственной услуги;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лаборант выдает результат оказания государственной услуги услугополучателю, 7 (семь) часов.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выданный результат оказания государственной услуги.".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государственной услуги "Выдача документов о прохождении подготовки, повышении квалификации и переподготовке кадров отрасли здравоохранения" на русском языке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постановления возложить на курирующего заместителя акима области.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Костанайской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прохождении подготовки,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повышении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переподготовке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отрасли здравоохранения"</w:t>
            </w:r>
          </w:p>
        </w:tc>
      </w:tr>
    </w:tbl>
    <w:bookmarkStart w:name="z24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</w:t>
      </w:r>
    </w:p>
    <w:bookmarkEnd w:id="16"/>
    <w:bookmarkStart w:name="z25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"Выдача документов о прохождении подготовки, повышении квалификации и переподготовке кадров отрасли здравоохранения"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8"/>
    <w:p>
      <w:pPr>
        <w:spacing w:after="0"/>
        <w:ind w:left="0"/>
        <w:jc w:val="both"/>
      </w:pPr>
      <w:r>
        <w:drawing>
          <wp:inline distT="0" distB="0" distL="0" distR="0">
            <wp:extent cx="7620000" cy="598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598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