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2c6d" w14:textId="3182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12 октября 2017 года № 11/134. Зарегистрировано Департаментом юстиции Мангистауской области 2 ноября 2017 года № 3450. Утратило силу решением Каракиянского районного маслихата Мангистауской области от 29 марта 2021 года № 2/18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от 13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"Өрлеу", а также приказом исполняющего обязанности Министра труда и социальной защиты населения Республики Казахстан от 17марта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(зарегистрирован в реестре государственной регистрации нормативных правовых актов за № 15016),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№2779, опубликованов газете "Қарақия" от 30 июля 2015 года № 52-53)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онкологическим больным и лицам заразивщихся вирусом иммунодефицита и выписанным из специализированной противотуберкулезной медицинской организации по заявлению, без учета доходов, в размере 20 (двадцати) месячных расчетных показателей ежеквартально.";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в пределах средств предусмотренных местным бюджетом на текущий финансовый год, предоставляется в виде единовременной оплаты образовательных услуг по фактическим затратам организации образования и ежемесячно на частичное покрытие затратов питания и проживания в размере 5 (пяти) месячных расчетных показателей: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– инвалидам, круглым сиротам и воспитанникам детских домов и детских деревень, обучающимся в высших учебных заведениях Республики Казахстан без учета дохода;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следующих категорий из семей, имеющих среднедушевой доход ниже 3 (трех) кратной величины прожиточного минимума в Мангистауской области за 12 месяцев перед обращением: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студентам, обучающихся по очной форме, для получения академической степени бакалавра в учебных заведениях Республики Казахстан или интернатуре высших медицинских учебных заведений, по запросу государственных учреждений района в целях обеспечения квалифицированными специалистами здравоохранения, образования, агропромышленного комплекса, социального обеспечения, культуры, спорта и туризма;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оба или один из родителей являются инвалидами;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один из родителей умерли;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оба родителей являются пенсионерами;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семей, имеющие четырех и более совместно проживающих несовершеннолетних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не достигшим 23 лет.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решение о назначении социальной помощи принимается районной комиссией по отбору студентов на назначение социальной помощи на основании заключения уполномоченного органа.";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составе семьи по формесогласно приложению 4 к приказу исполняющего обязанности Министра труда и социальной защиты населения Республики Казахстан от 17марта 2017 года № 37 "Об утверждении форм документов для участия в проекте "Өрлеу"" (далее – Приказ)(зарегистрирован в реестре государственной регистрации нормативных правовых актов за № 15016);";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Размер ОДП на каждого члена семьи (лицо) определяется как разница между среднедушевым доходом семьи (лица) и шестьюдесятью процентами от величины прожиточного минимума, установленного в Мангистауской области.";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Уполномоченный орган, аким села, сельского округа либо ассистент консультируют в день обращения претендента об условиях участия в проекте "Өрлеу" и при согласии претендента на участие в проекте "Өрлеу" проводят собеседование.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получения ОДП;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нуждаемость в государственных мерах содействия занятости;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социальной адаптации членам семьи с учетом их индивидуальных потребностей.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оформляется лист собеседования по форме согласно приложению1 к Приказу.";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Уполомоченный орган или аким села, сельского округа в течение двух рабочих дней со дня получения докуметов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Участковая комиссия в течение трех рабочих дней со дня поступления документов проводит обследование материального положения заявителя, составляет акт обследования и заключение участковой комиссии по формам согласно приложениям 9, 10 к Приказам и направляет ихв уполномоченный орган или акиму села,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передает документы заявителей с приложением заключения участковой комиссии в уполномоченный орган не позднее пяти рабочих дней со дня их принятия.";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потребности претендента и (или) членов его семьи в мерах по содействию занятости и (или) социальной адаптации, решение о предоставлении которых выходит за рамки компетенции уполномоченного органа, представленные документы заявителя направляются уполномоченным органом в течение одного рабочего дня на рассмотрение комиссии.";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Комиссия в течение семи календарных дней рассматривает представленные документы претендента, выносит соответствующее решение и направляет его в уполномоченный орган.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органна основании полученного заключения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участковой комиссии, а также при необходимости, рекомендации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Уполномоченный орган в течение трех рабочих дней со дня получения документов принимает решение о назначении ОДП или отказе в ее назначении, а также письменно через уполномоченный орган или акима села, сельского округа уведомляет претендента о назначении или отказе с указанием причины.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ОДП выплачивается ежемесячно и (или) единовременно за три месяца по заявлению претендента.";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Единовременная сумма ОДП используется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 согласно приложению к Правилам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"Өрлеу",утвержденным постановлением Правительства Республики Казахстанот 13 февраля 2017 года № 52.";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Отказ в оказании социальной помощи осуществляется в случаях: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превышения среднедушевого дохода уровня шестидесяти процентов от величины прожиточного минимума;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 заявителя и (или) члена (членов) семьи от заключения социального контракта активизации семьи;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заявителем неполного пакета документов и (или) документов с истекшим сроком действия;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 заявителя и (или) члена (членов) семьи от проведения обследования о семейном и материальном положении участковой комиссией;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факта предоставления заявителем и (или) членом (членами) семьи недостоверных (поддельных) документов и ложной информации.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заявителя и (или) члена (членов) семьи от приостановления выплаты адресной социальной помощи.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суммвустановленном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Финансирование расходов на предоставление социальной помощи осуществляется в пределах средств, предусмотренных бюджетом Каракиянского района на текущий финансовый год, по бюджетным программам 025 "Внедрение обусловленной денежной помощи по проекту "Өрлеу" и 048 "Внедрение обусловленной денежной помощи по проекту "Өрлеу".";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После определения права на ОДП уполномоченный орган приглашает заявителя и (или) членов его семьи для разработки индивидуального плана помощи семье и социального контракта активизации семьи согласно формам, утверждаемым Приказом.";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Социальный контракт активизации семьи заключается на 6 месяцев с возможностью его пролонгации дополнительно до 6 месяцев в случаях: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необходимости продления мероприятий по социальной адаптации членов семьи;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незавершения к моменту истечения срока социального контракта активизации семьи сроков активных мер содействия занятости, в которые вовлечены трудоспособные лица (трудоспособные члены семьи);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невыполнения трудоспособным лицом (трудоспособными членами семьи) обязательств по социальному контракту активизации семьи по независящим от него причинам (временная нетрудоспособность более двух месяцев, несчастный случай, стихийное бедствие);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поддержки для достижения запланированных показателей развития личного подсобного хозяйства и (или) индивидуальной предпринимательской деятельности.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нормативныхправовых актов Республики Казахстан и в средствах массовой информации.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абрревиатуры: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– обусловленная денежная помощь.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занятости, социальных программ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 Маркс Тайырович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октября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