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978" w14:textId="76a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Бухар-Жырауского районного маслихата Карагандинской области от 28 февраля 2017 года № 5. Зарегистрировано Департаментом юстиции Карагандинской области 17 марта 2017 года № 4182. Утратило силу решением Бухар-Жырауского районного маслихата Карагандинской области от 29 марта 2018 года № 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29.03.2018 № 26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47 сессии Бухар-Жырауского районного маслихата от 04 марта 2016 года № 4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(зарегистрировано в Реестре государственной регистрации нормативных правовых актов за № 3735, опубликовано в районной газете "Бұқар жырау жаршысы" от 09 апреля 2016 года за № 14, в информационно-правовой системе "Әділет" от 11 апреля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rPr>
          <w:rFonts w:ascii="Times New Roman"/>
          <w:b/>
          <w:i w:val="false"/>
          <w:color w:val="000000"/>
        </w:rPr>
        <w:t xml:space="preserve"> учреждения "Аппарат Бухар-Жырауского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 итогам года (годовая оценка) – не позднее двадцать пятого декабря оцениваемого года.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 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организационно-кадровой работе аппарата районного маслихата (далее – Главный специалист).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районного маслихата.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 с председателем Комиссии по 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 своих должностных 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 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 каждый факт 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 и исполнительской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 об отказе от 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квартальная оценка служащего корпуса "Б" вычисляется непосредственным руководителем по следующей формуле: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квартальная оценка;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 – поощрительные баллы;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– штрафные баллы.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 шкале: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 работы, присваивается - 2 балла;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 частичное выполнение целевого показателя - 3 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 В этом случае Главным специалистом и непосредственным руководителем служащего корпуса "Б" в произвольной форме составляется акт об отказе от ознакомления.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 27 настоящей Методики, приводится к пятибалльной системе оценок, а именно: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балла,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выполнения индивидуального плана работы (среднеарифметическое значение).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 с председателем Комиссии.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 оценочные листы;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 инструкция служащего корпуса "Б";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 к настоящей 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 одно из следующих решений: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 результаты оценки;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 результаты оценки.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 письменной или электронной форме.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 дня вынесения решения.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 его деятельности.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518"/>
        <w:gridCol w:w="1288"/>
        <w:gridCol w:w="1289"/>
        <w:gridCol w:w="761"/>
        <w:gridCol w:w="1404"/>
        <w:gridCol w:w="2382"/>
        <w:gridCol w:w="2385"/>
        <w:gridCol w:w="337"/>
        <w:gridCol w:w="81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46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