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6969" w14:textId="e386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городу Сарани и поселку Актас на 2018 - 2019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21 сессии Саранского городского маслихата Карагандинской области от 28 декабря 2017 года № 234. Зарегистрировано Департаментом юстиции Карагандинской области 11 января 2018 года № 4560.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Саранский городской маслихат РЕШИЛ: </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в городе Сарани и поселку Актас на 2018 - 2019 годы.</w:t>
      </w:r>
    </w:p>
    <w:bookmarkEnd w:id="1"/>
    <w:bookmarkStart w:name="z6"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Алешкова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Исполняющая обязанности секретаря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Мамирова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21 сессии </w:t>
            </w:r>
            <w:r>
              <w:br/>
            </w:r>
            <w:r>
              <w:rPr>
                <w:rFonts w:ascii="Times New Roman"/>
                <w:b w:val="false"/>
                <w:i w:val="false"/>
                <w:color w:val="000000"/>
                <w:sz w:val="20"/>
              </w:rPr>
              <w:t>Саранского городского маслихата</w:t>
            </w:r>
            <w:r>
              <w:br/>
            </w:r>
            <w:r>
              <w:rPr>
                <w:rFonts w:ascii="Times New Roman"/>
                <w:b w:val="false"/>
                <w:i w:val="false"/>
                <w:color w:val="000000"/>
                <w:sz w:val="20"/>
              </w:rPr>
              <w:t>от 28 декабря 2017 года № 234</w:t>
            </w:r>
            <w:r>
              <w:br/>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городу Сарани и поселку Актас на 2018-2019 годы</w:t>
      </w:r>
    </w:p>
    <w:bookmarkEnd w:id="3"/>
    <w:bookmarkStart w:name="z11" w:id="4"/>
    <w:p>
      <w:pPr>
        <w:spacing w:after="0"/>
        <w:ind w:left="0"/>
        <w:jc w:val="left"/>
      </w:pPr>
      <w:r>
        <w:rPr>
          <w:rFonts w:ascii="Times New Roman"/>
          <w:b/>
          <w:i w:val="false"/>
          <w:color w:val="000000"/>
        </w:rPr>
        <w:t xml:space="preserve"> Глава 1. Введение</w:t>
      </w:r>
    </w:p>
    <w:bookmarkEnd w:id="4"/>
    <w:bookmarkStart w:name="z12" w:id="5"/>
    <w:p>
      <w:pPr>
        <w:spacing w:after="0"/>
        <w:ind w:left="0"/>
        <w:jc w:val="both"/>
      </w:pPr>
      <w:r>
        <w:rPr>
          <w:rFonts w:ascii="Times New Roman"/>
          <w:b w:val="false"/>
          <w:i w:val="false"/>
          <w:color w:val="000000"/>
          <w:sz w:val="28"/>
        </w:rPr>
        <w:t xml:space="preserve">
      1. План по управлению пастбищами и их использованию по городу Сарани и поселку Актас на 2018 - 2019 годы разработан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20 февраля 2017 года "О пастбищах", в целях рационального использования пастбищ, устойчивого обеспечения потребности в кормах и предотвращения процессов деградации пастбищ. </w:t>
      </w:r>
    </w:p>
    <w:bookmarkEnd w:id="5"/>
    <w:bookmarkStart w:name="z13" w:id="6"/>
    <w:p>
      <w:pPr>
        <w:spacing w:after="0"/>
        <w:ind w:left="0"/>
        <w:jc w:val="both"/>
      </w:pPr>
      <w:r>
        <w:rPr>
          <w:rFonts w:ascii="Times New Roman"/>
          <w:b w:val="false"/>
          <w:i w:val="false"/>
          <w:color w:val="000000"/>
          <w:sz w:val="28"/>
        </w:rPr>
        <w:t>
      2. Для разработки Плана использована следующая информация:</w:t>
      </w:r>
    </w:p>
    <w:bookmarkEnd w:id="6"/>
    <w:bookmarkStart w:name="z14" w:id="7"/>
    <w:p>
      <w:pPr>
        <w:spacing w:after="0"/>
        <w:ind w:left="0"/>
        <w:jc w:val="both"/>
      </w:pPr>
      <w:r>
        <w:rPr>
          <w:rFonts w:ascii="Times New Roman"/>
          <w:b w:val="false"/>
          <w:i w:val="false"/>
          <w:color w:val="000000"/>
          <w:sz w:val="28"/>
        </w:rPr>
        <w:t>
      отчет по геоботаническому обследованию земель города Сарани, изготовленный Департаментом земельного кадастра и технического обследования недвижимости – филиал некоммерческого акционерного общества "Государственная корпорация "Правительство для граждан" по Карагандинской области в 2017 году;</w:t>
      </w:r>
    </w:p>
    <w:bookmarkEnd w:id="7"/>
    <w:bookmarkStart w:name="z15" w:id="8"/>
    <w:p>
      <w:pPr>
        <w:spacing w:after="0"/>
        <w:ind w:left="0"/>
        <w:jc w:val="both"/>
      </w:pPr>
      <w:r>
        <w:rPr>
          <w:rFonts w:ascii="Times New Roman"/>
          <w:b w:val="false"/>
          <w:i w:val="false"/>
          <w:color w:val="000000"/>
          <w:sz w:val="28"/>
        </w:rPr>
        <w:t>
      сведения о ветеринарно - санитарных объектах, предоставленные государственным учреждением "Отдел ветеринарии города Сарани";</w:t>
      </w:r>
    </w:p>
    <w:bookmarkEnd w:id="8"/>
    <w:bookmarkStart w:name="z16" w:id="9"/>
    <w:p>
      <w:pPr>
        <w:spacing w:after="0"/>
        <w:ind w:left="0"/>
        <w:jc w:val="both"/>
      </w:pPr>
      <w:r>
        <w:rPr>
          <w:rFonts w:ascii="Times New Roman"/>
          <w:b w:val="false"/>
          <w:i w:val="false"/>
          <w:color w:val="000000"/>
          <w:sz w:val="28"/>
        </w:rPr>
        <w:t>
      данные о численности поголовья сельскохозяйственных животных, представленные государственным учреждением "Отдел ветеринарии города Сарани";</w:t>
      </w:r>
    </w:p>
    <w:bookmarkEnd w:id="9"/>
    <w:bookmarkStart w:name="z17" w:id="10"/>
    <w:p>
      <w:pPr>
        <w:spacing w:after="0"/>
        <w:ind w:left="0"/>
        <w:jc w:val="both"/>
      </w:pPr>
      <w:r>
        <w:rPr>
          <w:rFonts w:ascii="Times New Roman"/>
          <w:b w:val="false"/>
          <w:i w:val="false"/>
          <w:color w:val="000000"/>
          <w:sz w:val="28"/>
        </w:rPr>
        <w:t>
      данные о количестве гуртов, отар, табунов, представленные государственным учреждением "Отдел ветеринарии города Сарани";</w:t>
      </w:r>
    </w:p>
    <w:bookmarkEnd w:id="10"/>
    <w:bookmarkStart w:name="z18" w:id="11"/>
    <w:p>
      <w:pPr>
        <w:spacing w:after="0"/>
        <w:ind w:left="0"/>
        <w:jc w:val="both"/>
      </w:pPr>
      <w:r>
        <w:rPr>
          <w:rFonts w:ascii="Times New Roman"/>
          <w:b w:val="false"/>
          <w:i w:val="false"/>
          <w:color w:val="000000"/>
          <w:sz w:val="28"/>
        </w:rPr>
        <w:t>
      иные данные, предоставленные государственными органами, физическими и (или) юридическими лицами.</w:t>
      </w:r>
    </w:p>
    <w:bookmarkEnd w:id="11"/>
    <w:bookmarkStart w:name="z19" w:id="12"/>
    <w:p>
      <w:pPr>
        <w:spacing w:after="0"/>
        <w:ind w:left="0"/>
        <w:jc w:val="both"/>
      </w:pPr>
      <w:r>
        <w:rPr>
          <w:rFonts w:ascii="Times New Roman"/>
          <w:b w:val="false"/>
          <w:i w:val="false"/>
          <w:color w:val="000000"/>
          <w:sz w:val="28"/>
        </w:rPr>
        <w:t xml:space="preserve">
      3. Учитывая индустриальную направленность города Сарани, потенциал сельского хозяйства не велик, и не позволяет обеспечить потребности города. Продукция, как животноводства, так и растениеводства в основном производится личными подсобными хозяйствами. </w:t>
      </w:r>
    </w:p>
    <w:bookmarkEnd w:id="12"/>
    <w:bookmarkStart w:name="z20" w:id="13"/>
    <w:p>
      <w:pPr>
        <w:spacing w:after="0"/>
        <w:ind w:left="0"/>
        <w:jc w:val="both"/>
      </w:pPr>
      <w:r>
        <w:rPr>
          <w:rFonts w:ascii="Times New Roman"/>
          <w:b w:val="false"/>
          <w:i w:val="false"/>
          <w:color w:val="000000"/>
          <w:sz w:val="28"/>
        </w:rPr>
        <w:t>
      4. На административной территории города не имеется достаточного количества земель, пригодных для использования в качестве сельскохозяйственных угодий, кроме того, интенсивное развитие промышленности отвлекает трудовые ресурсы, обеспечивая занятость населения.</w:t>
      </w:r>
    </w:p>
    <w:bookmarkEnd w:id="13"/>
    <w:bookmarkStart w:name="z21" w:id="14"/>
    <w:p>
      <w:pPr>
        <w:spacing w:after="0"/>
        <w:ind w:left="0"/>
        <w:jc w:val="both"/>
      </w:pPr>
      <w:r>
        <w:rPr>
          <w:rFonts w:ascii="Times New Roman"/>
          <w:b w:val="false"/>
          <w:i w:val="false"/>
          <w:color w:val="000000"/>
          <w:sz w:val="28"/>
        </w:rPr>
        <w:t xml:space="preserve">
      5. Вместе с тем, развитие сельского хозяйства, приобретает все большую актуальность. За последние годы в аграрном секторе города наблюдается устойчивый рост объемов валовой продукции и динамичное развитие агропромышленного комплекса. Увеличилось поголовье скота и производство основных видов продукции животноводства и растениеводства. </w:t>
      </w:r>
    </w:p>
    <w:bookmarkEnd w:id="14"/>
    <w:bookmarkStart w:name="z22" w:id="15"/>
    <w:p>
      <w:pPr>
        <w:spacing w:after="0"/>
        <w:ind w:left="0"/>
        <w:jc w:val="both"/>
      </w:pPr>
      <w:r>
        <w:rPr>
          <w:rFonts w:ascii="Times New Roman"/>
          <w:b w:val="false"/>
          <w:i w:val="false"/>
          <w:color w:val="000000"/>
          <w:sz w:val="28"/>
        </w:rPr>
        <w:t>
      6. Территория города составляет 16104 гектара, из которых более 80% - это земли населенных пунктов, 20% составляют земли сельскохозяйственного использования, лесного и водного фонда. Несмотря на ограниченные возможности, на административной территории возможно и дальше развивать как животноводство, так и растениеводство.</w:t>
      </w:r>
    </w:p>
    <w:bookmarkEnd w:id="15"/>
    <w:bookmarkStart w:name="z23" w:id="16"/>
    <w:p>
      <w:pPr>
        <w:spacing w:after="0"/>
        <w:ind w:left="0"/>
        <w:jc w:val="both"/>
      </w:pPr>
      <w:r>
        <w:rPr>
          <w:rFonts w:ascii="Times New Roman"/>
          <w:b w:val="false"/>
          <w:i w:val="false"/>
          <w:color w:val="000000"/>
          <w:sz w:val="28"/>
        </w:rPr>
        <w:t xml:space="preserve">
      7. Составляющей устойчивого развития отрасли является рациональное использование земель сельскохозяйственного значения. </w:t>
      </w:r>
    </w:p>
    <w:bookmarkEnd w:id="16"/>
    <w:bookmarkStart w:name="z24" w:id="17"/>
    <w:p>
      <w:pPr>
        <w:spacing w:after="0"/>
        <w:ind w:left="0"/>
        <w:jc w:val="both"/>
      </w:pPr>
      <w:r>
        <w:rPr>
          <w:rFonts w:ascii="Times New Roman"/>
          <w:b w:val="false"/>
          <w:i w:val="false"/>
          <w:color w:val="000000"/>
          <w:sz w:val="28"/>
        </w:rPr>
        <w:t xml:space="preserve">
      8. Рациональное использование земель сельскохозяйственного назначения -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плодородия почв и мелиоративного состояния земель. </w:t>
      </w:r>
    </w:p>
    <w:bookmarkEnd w:id="17"/>
    <w:bookmarkStart w:name="z25" w:id="18"/>
    <w:p>
      <w:pPr>
        <w:spacing w:after="0"/>
        <w:ind w:left="0"/>
        <w:jc w:val="both"/>
      </w:pPr>
      <w:r>
        <w:rPr>
          <w:rFonts w:ascii="Times New Roman"/>
          <w:b w:val="false"/>
          <w:i w:val="false"/>
          <w:color w:val="000000"/>
          <w:sz w:val="28"/>
        </w:rPr>
        <w:t xml:space="preserve">
      9. Для пастбищепользователей эффективное использование пастбищ без их деградации является главной задачей. </w:t>
      </w:r>
    </w:p>
    <w:bookmarkEnd w:id="18"/>
    <w:bookmarkStart w:name="z26" w:id="19"/>
    <w:p>
      <w:pPr>
        <w:spacing w:after="0"/>
        <w:ind w:left="0"/>
        <w:jc w:val="both"/>
      </w:pPr>
      <w:r>
        <w:rPr>
          <w:rFonts w:ascii="Times New Roman"/>
          <w:b w:val="false"/>
          <w:i w:val="false"/>
          <w:color w:val="000000"/>
          <w:sz w:val="28"/>
        </w:rPr>
        <w:t xml:space="preserve">
      10. В связи с этим, разработан План по управлению пастбищами и их использованию на 2018 - 2019 годы, схемы пастбищеоборотов для сельскохозяйственных формирований и населения, что позволит обеспечить потребность в кормах и предотвратить процесс деградации пастбищ. </w:t>
      </w:r>
    </w:p>
    <w:bookmarkEnd w:id="19"/>
    <w:bookmarkStart w:name="z27" w:id="20"/>
    <w:p>
      <w:pPr>
        <w:spacing w:after="0"/>
        <w:ind w:left="0"/>
        <w:jc w:val="left"/>
      </w:pPr>
      <w:r>
        <w:rPr>
          <w:rFonts w:ascii="Times New Roman"/>
          <w:b/>
          <w:i w:val="false"/>
          <w:color w:val="000000"/>
        </w:rPr>
        <w:t xml:space="preserve"> Глава 2. Общие сведения</w:t>
      </w:r>
    </w:p>
    <w:bookmarkEnd w:id="20"/>
    <w:bookmarkStart w:name="z28" w:id="21"/>
    <w:p>
      <w:pPr>
        <w:spacing w:after="0"/>
        <w:ind w:left="0"/>
        <w:jc w:val="both"/>
      </w:pPr>
      <w:r>
        <w:rPr>
          <w:rFonts w:ascii="Times New Roman"/>
          <w:b w:val="false"/>
          <w:i w:val="false"/>
          <w:color w:val="000000"/>
          <w:sz w:val="28"/>
        </w:rPr>
        <w:t>
      11. Город Сарань расположен в 16 километрах к юго - западу от города Караганды и в 222 километрах от столицы республики – города Астана.</w:t>
      </w:r>
    </w:p>
    <w:bookmarkEnd w:id="21"/>
    <w:bookmarkStart w:name="z29" w:id="22"/>
    <w:p>
      <w:pPr>
        <w:spacing w:after="0"/>
        <w:ind w:left="0"/>
        <w:jc w:val="both"/>
      </w:pPr>
      <w:r>
        <w:rPr>
          <w:rFonts w:ascii="Times New Roman"/>
          <w:b w:val="false"/>
          <w:i w:val="false"/>
          <w:color w:val="000000"/>
          <w:sz w:val="28"/>
        </w:rPr>
        <w:t>
      12. Территория города граничит с административными территориями областного центра – города Караганды и Бухар - Жырауского района.</w:t>
      </w:r>
    </w:p>
    <w:bookmarkEnd w:id="22"/>
    <w:bookmarkStart w:name="z30" w:id="23"/>
    <w:p>
      <w:pPr>
        <w:spacing w:after="0"/>
        <w:ind w:left="0"/>
        <w:jc w:val="both"/>
      </w:pPr>
      <w:r>
        <w:rPr>
          <w:rFonts w:ascii="Times New Roman"/>
          <w:b w:val="false"/>
          <w:i w:val="false"/>
          <w:color w:val="000000"/>
          <w:sz w:val="28"/>
        </w:rPr>
        <w:t xml:space="preserve">
      13. По состоянию на 1 ноября 2017 года земельный фонд города Сарани составляет 16104 гектара, из которых 3757 гектаров - земли сельскохозяйственных угодий, из них пастбища составляют 3291 гектар. </w:t>
      </w:r>
    </w:p>
    <w:bookmarkEnd w:id="23"/>
    <w:bookmarkStart w:name="z31" w:id="24"/>
    <w:p>
      <w:pPr>
        <w:spacing w:after="0"/>
        <w:ind w:left="0"/>
        <w:jc w:val="both"/>
      </w:pPr>
      <w:r>
        <w:rPr>
          <w:rFonts w:ascii="Times New Roman"/>
          <w:b w:val="false"/>
          <w:i w:val="false"/>
          <w:color w:val="000000"/>
          <w:sz w:val="28"/>
        </w:rPr>
        <w:t>
      14. По результатам сельскохозяйственной переписи 2009 года на административной территории города насчитывается 4414 домохозяйств, из которых скот и птицу имеют 1184 домохозяйства. Зарегистрировано 10 крестьянских хозяйств, осуществляющих деятельность без образования юридического лица.</w:t>
      </w:r>
    </w:p>
    <w:bookmarkEnd w:id="24"/>
    <w:bookmarkStart w:name="z32" w:id="25"/>
    <w:p>
      <w:pPr>
        <w:spacing w:after="0"/>
        <w:ind w:left="0"/>
        <w:jc w:val="both"/>
      </w:pPr>
      <w:r>
        <w:rPr>
          <w:rFonts w:ascii="Times New Roman"/>
          <w:b w:val="false"/>
          <w:i w:val="false"/>
          <w:color w:val="000000"/>
          <w:sz w:val="28"/>
        </w:rPr>
        <w:t xml:space="preserve">
      15. Содержание скота в основном полустойловое. Пастбищный период начинается в конце апреля - начале мая и заканчивается в конце октября -начале ноября. Зимнее содержание скота стойловое. Корма на стойловый период частично заготавливаются с природных сенокосов, с участков коренного улучшения. </w:t>
      </w:r>
    </w:p>
    <w:bookmarkEnd w:id="25"/>
    <w:bookmarkStart w:name="z33" w:id="26"/>
    <w:p>
      <w:pPr>
        <w:spacing w:after="0"/>
        <w:ind w:left="0"/>
        <w:jc w:val="left"/>
      </w:pPr>
      <w:r>
        <w:rPr>
          <w:rFonts w:ascii="Times New Roman"/>
          <w:b/>
          <w:i w:val="false"/>
          <w:color w:val="000000"/>
        </w:rPr>
        <w:t xml:space="preserve"> Глава 3. Климат</w:t>
      </w:r>
    </w:p>
    <w:bookmarkEnd w:id="26"/>
    <w:bookmarkStart w:name="z34" w:id="27"/>
    <w:p>
      <w:pPr>
        <w:spacing w:after="0"/>
        <w:ind w:left="0"/>
        <w:jc w:val="both"/>
      </w:pPr>
      <w:r>
        <w:rPr>
          <w:rFonts w:ascii="Times New Roman"/>
          <w:b w:val="false"/>
          <w:i w:val="false"/>
          <w:color w:val="000000"/>
          <w:sz w:val="28"/>
        </w:rPr>
        <w:t xml:space="preserve">
      16. Климатические условия являются важнейшим фактором формирования и развития естественных ландшафтов Центрального Казахстана, в том числе в формировании и развитии почвенного покрова. </w:t>
      </w:r>
    </w:p>
    <w:bookmarkEnd w:id="27"/>
    <w:bookmarkStart w:name="z35" w:id="28"/>
    <w:p>
      <w:pPr>
        <w:spacing w:after="0"/>
        <w:ind w:left="0"/>
        <w:jc w:val="both"/>
      </w:pPr>
      <w:r>
        <w:rPr>
          <w:rFonts w:ascii="Times New Roman"/>
          <w:b w:val="false"/>
          <w:i w:val="false"/>
          <w:color w:val="000000"/>
          <w:sz w:val="28"/>
        </w:rPr>
        <w:t xml:space="preserve">
      17. Территория города Сарани находится в зоне сухих степей с резко выраженным континентальным климатом, для которого характерны большие амплитудные колебания температуры как по сезонам года, так и в течение суток, с суровой, продолжительной зимой (минимальная температура самого холодного месяца февраля от -8,7ºС до -18,3ºС), засушливым, жарким летом (максимальная температура июня от +19,5ºС до +23,8ºС). Годовая амплитуда температур составляет от 27,5 ºС до - 42,1ºС. </w:t>
      </w:r>
    </w:p>
    <w:bookmarkEnd w:id="28"/>
    <w:bookmarkStart w:name="z36" w:id="29"/>
    <w:p>
      <w:pPr>
        <w:spacing w:after="0"/>
        <w:ind w:left="0"/>
        <w:jc w:val="both"/>
      </w:pPr>
      <w:r>
        <w:rPr>
          <w:rFonts w:ascii="Times New Roman"/>
          <w:b w:val="false"/>
          <w:i w:val="false"/>
          <w:color w:val="000000"/>
          <w:sz w:val="28"/>
        </w:rPr>
        <w:t>
      18. Весьма важными показателями, характеризующими климат, являются: среднемесячные температуры воздуха, среднегодовые температуры воздуха. Резкая континентальность климата обуславливает большую амплитуду температуры воздуха между максимальным значением ее в июне и минимальным значением в феврале, которая составляет примерно 80ºС. Весьма значительны также амплитуды колебания температуры воздуха в течение суток. Средняя многолетняя температура воздуха составляет +2,8ºС. Обеспеченность территории теплом достаточная. Продолжительность вегетационного периода по многолетним наблюдениям составляет 165 дней.</w:t>
      </w:r>
    </w:p>
    <w:bookmarkEnd w:id="29"/>
    <w:bookmarkStart w:name="z37" w:id="30"/>
    <w:p>
      <w:pPr>
        <w:spacing w:after="0"/>
        <w:ind w:left="0"/>
        <w:jc w:val="both"/>
      </w:pPr>
      <w:r>
        <w:rPr>
          <w:rFonts w:ascii="Times New Roman"/>
          <w:b w:val="false"/>
          <w:i w:val="false"/>
          <w:color w:val="000000"/>
          <w:sz w:val="28"/>
        </w:rPr>
        <w:t xml:space="preserve">
      19. По многолетним данным среднегодовое количество осадков составляет 295 - 315 миллиметров, что свидетельствует о засушливости климата. </w:t>
      </w:r>
    </w:p>
    <w:bookmarkEnd w:id="30"/>
    <w:bookmarkStart w:name="z38" w:id="31"/>
    <w:p>
      <w:pPr>
        <w:spacing w:after="0"/>
        <w:ind w:left="0"/>
        <w:jc w:val="both"/>
      </w:pPr>
      <w:r>
        <w:rPr>
          <w:rFonts w:ascii="Times New Roman"/>
          <w:b w:val="false"/>
          <w:i w:val="false"/>
          <w:color w:val="000000"/>
          <w:sz w:val="28"/>
        </w:rPr>
        <w:t xml:space="preserve">
      20. В наиболее влажные годы количество осадков выпадает до 400 миллиметров в год, в наиболее засушливые годы количество осадков составляет 100 - 200 миллиметров в год. </w:t>
      </w:r>
    </w:p>
    <w:bookmarkEnd w:id="31"/>
    <w:bookmarkStart w:name="z39" w:id="32"/>
    <w:p>
      <w:pPr>
        <w:spacing w:after="0"/>
        <w:ind w:left="0"/>
        <w:jc w:val="both"/>
      </w:pPr>
      <w:r>
        <w:rPr>
          <w:rFonts w:ascii="Times New Roman"/>
          <w:b w:val="false"/>
          <w:i w:val="false"/>
          <w:color w:val="000000"/>
          <w:sz w:val="28"/>
        </w:rPr>
        <w:t xml:space="preserve">
      21. Выпадение осадков носит сезонный характер. Максимум осадков выпадает в июне – августе. Летние осадки чаще носят ливневый характер, редко - обложной. Ливневый характер летних осадков способствует образованию и развитию водной эрозии. </w:t>
      </w:r>
    </w:p>
    <w:bookmarkEnd w:id="32"/>
    <w:bookmarkStart w:name="z40" w:id="33"/>
    <w:p>
      <w:pPr>
        <w:spacing w:after="0"/>
        <w:ind w:left="0"/>
        <w:jc w:val="both"/>
      </w:pPr>
      <w:r>
        <w:rPr>
          <w:rFonts w:ascii="Times New Roman"/>
          <w:b w:val="false"/>
          <w:i w:val="false"/>
          <w:color w:val="000000"/>
          <w:sz w:val="28"/>
        </w:rPr>
        <w:t>
      22. Зимние осадки составляют примерно 20% среднегодового количества осадков. Средняя скорость ветра в зимние месяцы 4 - 6 метров в секунду. Постоянно дующие ветры являются неблагоприятным климатическим фактором.</w:t>
      </w:r>
    </w:p>
    <w:bookmarkEnd w:id="33"/>
    <w:bookmarkStart w:name="z41" w:id="34"/>
    <w:p>
      <w:pPr>
        <w:spacing w:after="0"/>
        <w:ind w:left="0"/>
        <w:jc w:val="both"/>
      </w:pPr>
      <w:r>
        <w:rPr>
          <w:rFonts w:ascii="Times New Roman"/>
          <w:b w:val="false"/>
          <w:i w:val="false"/>
          <w:color w:val="000000"/>
          <w:sz w:val="28"/>
        </w:rPr>
        <w:t>
      23. Данные климатические условия: резкие колебания сезонных и суточных температур, незначительное количество атмосферных осадков и значительная сухость воздуха, являются неблагоприятными для возделывания теплолюбивых и влаголюбивых сельскохозяйственных культур, обуславливают развитие специфического сухостепного растительного покрова на плакорных участках.</w:t>
      </w:r>
    </w:p>
    <w:bookmarkEnd w:id="34"/>
    <w:bookmarkStart w:name="z42" w:id="35"/>
    <w:p>
      <w:pPr>
        <w:spacing w:after="0"/>
        <w:ind w:left="0"/>
        <w:jc w:val="left"/>
      </w:pPr>
      <w:r>
        <w:rPr>
          <w:rFonts w:ascii="Times New Roman"/>
          <w:b/>
          <w:i w:val="false"/>
          <w:color w:val="000000"/>
        </w:rPr>
        <w:t xml:space="preserve"> Глава 4. Рельеф</w:t>
      </w:r>
    </w:p>
    <w:bookmarkEnd w:id="35"/>
    <w:bookmarkStart w:name="z43" w:id="36"/>
    <w:p>
      <w:pPr>
        <w:spacing w:after="0"/>
        <w:ind w:left="0"/>
        <w:jc w:val="both"/>
      </w:pPr>
      <w:r>
        <w:rPr>
          <w:rFonts w:ascii="Times New Roman"/>
          <w:b w:val="false"/>
          <w:i w:val="false"/>
          <w:color w:val="000000"/>
          <w:sz w:val="28"/>
        </w:rPr>
        <w:t>
      24. Территория города Сарани расположена в зоне Центрального Казахского мелкосопочника. Поверхность данного участка Центрального Казахского мелкосопочника отражает особенности происхождения всей страны, образовавшейся в результате длительного пребывания в состоянии суши и периодически размывавшейся. Денудационные процессы прерывались процессами аккумуляции обломков горных пород. Поэтому положительные элементы рельефа представляют структурно - денудационные формы, отрицательные элементы рельефа – равнины и межсопочные долины – эрозионно - аккумулятивные формы. Пониженные элементы рельефа были заполнены отложениями третичных и четвертичных осадочных пород, перекрывшими в долинах твердые горные породы.</w:t>
      </w:r>
    </w:p>
    <w:bookmarkEnd w:id="36"/>
    <w:bookmarkStart w:name="z44" w:id="37"/>
    <w:p>
      <w:pPr>
        <w:spacing w:after="0"/>
        <w:ind w:left="0"/>
        <w:jc w:val="both"/>
      </w:pPr>
      <w:r>
        <w:rPr>
          <w:rFonts w:ascii="Times New Roman"/>
          <w:b w:val="false"/>
          <w:i w:val="false"/>
          <w:color w:val="000000"/>
          <w:sz w:val="28"/>
        </w:rPr>
        <w:t xml:space="preserve">
      25. Территорию города можно разделить на следующие типы рельефа: </w:t>
      </w:r>
    </w:p>
    <w:bookmarkEnd w:id="37"/>
    <w:bookmarkStart w:name="z45" w:id="38"/>
    <w:p>
      <w:pPr>
        <w:spacing w:after="0"/>
        <w:ind w:left="0"/>
        <w:jc w:val="both"/>
      </w:pPr>
      <w:r>
        <w:rPr>
          <w:rFonts w:ascii="Times New Roman"/>
          <w:b w:val="false"/>
          <w:i w:val="false"/>
          <w:color w:val="000000"/>
          <w:sz w:val="28"/>
        </w:rPr>
        <w:t xml:space="preserve">
      1) мелкосопочник и невысокие горы; </w:t>
      </w:r>
    </w:p>
    <w:bookmarkEnd w:id="38"/>
    <w:bookmarkStart w:name="z46" w:id="39"/>
    <w:p>
      <w:pPr>
        <w:spacing w:after="0"/>
        <w:ind w:left="0"/>
        <w:jc w:val="both"/>
      </w:pPr>
      <w:r>
        <w:rPr>
          <w:rFonts w:ascii="Times New Roman"/>
          <w:b w:val="false"/>
          <w:i w:val="false"/>
          <w:color w:val="000000"/>
          <w:sz w:val="28"/>
        </w:rPr>
        <w:t xml:space="preserve">
      2) волнисто - увалистые и слабоволнистые равнины; </w:t>
      </w:r>
    </w:p>
    <w:bookmarkEnd w:id="39"/>
    <w:bookmarkStart w:name="z47" w:id="40"/>
    <w:p>
      <w:pPr>
        <w:spacing w:after="0"/>
        <w:ind w:left="0"/>
        <w:jc w:val="both"/>
      </w:pPr>
      <w:r>
        <w:rPr>
          <w:rFonts w:ascii="Times New Roman"/>
          <w:b w:val="false"/>
          <w:i w:val="false"/>
          <w:color w:val="000000"/>
          <w:sz w:val="28"/>
        </w:rPr>
        <w:t>
      3) долины рек и ручьев.</w:t>
      </w:r>
    </w:p>
    <w:bookmarkEnd w:id="40"/>
    <w:bookmarkStart w:name="z48" w:id="41"/>
    <w:p>
      <w:pPr>
        <w:spacing w:after="0"/>
        <w:ind w:left="0"/>
        <w:jc w:val="both"/>
      </w:pPr>
      <w:r>
        <w:rPr>
          <w:rFonts w:ascii="Times New Roman"/>
          <w:b w:val="false"/>
          <w:i w:val="false"/>
          <w:color w:val="000000"/>
          <w:sz w:val="28"/>
        </w:rPr>
        <w:t>
      26. Обширные межсопочные пространства занимают слабоволнистые равнины, расчлененные руслами временных водотоков. Участки равнин расчленены многочисленными выположенными ложбинами и потяжинами глубиной в 2 - 4 метра, которые усиливают волнистость рельефа.</w:t>
      </w:r>
    </w:p>
    <w:bookmarkEnd w:id="41"/>
    <w:bookmarkStart w:name="z49" w:id="42"/>
    <w:p>
      <w:pPr>
        <w:spacing w:after="0"/>
        <w:ind w:left="0"/>
        <w:jc w:val="both"/>
      </w:pPr>
      <w:r>
        <w:rPr>
          <w:rFonts w:ascii="Times New Roman"/>
          <w:b w:val="false"/>
          <w:i w:val="false"/>
          <w:color w:val="000000"/>
          <w:sz w:val="28"/>
        </w:rPr>
        <w:t>
      27. Довольно часто встречаются волнисто - увалистые равнины, на которых без всякой закономерности и порядка возвышаются холмы, иногда довольно значительные, затрудняющие распашку этих массивов.</w:t>
      </w:r>
    </w:p>
    <w:bookmarkEnd w:id="42"/>
    <w:bookmarkStart w:name="z50" w:id="43"/>
    <w:p>
      <w:pPr>
        <w:spacing w:after="0"/>
        <w:ind w:left="0"/>
        <w:jc w:val="left"/>
      </w:pPr>
      <w:r>
        <w:rPr>
          <w:rFonts w:ascii="Times New Roman"/>
          <w:b/>
          <w:i w:val="false"/>
          <w:color w:val="000000"/>
        </w:rPr>
        <w:t xml:space="preserve"> Глава 5. Растительность</w:t>
      </w:r>
    </w:p>
    <w:bookmarkEnd w:id="43"/>
    <w:bookmarkStart w:name="z51" w:id="44"/>
    <w:p>
      <w:pPr>
        <w:spacing w:after="0"/>
        <w:ind w:left="0"/>
        <w:jc w:val="both"/>
      </w:pPr>
      <w:r>
        <w:rPr>
          <w:rFonts w:ascii="Times New Roman"/>
          <w:b w:val="false"/>
          <w:i w:val="false"/>
          <w:color w:val="000000"/>
          <w:sz w:val="28"/>
        </w:rPr>
        <w:t xml:space="preserve">
      28. Естественная растительность административной территории довольно однообразна и представлена главным образом степными злаками, местами разнотравьем по понижениям и на равнинных участках. На зональных темно -каштановых почвах развита типчаково - ковыльная и ковыльно - типчаковая растительность разной степени развития и проективного покрытия с участием степного разнотравья. </w:t>
      </w:r>
    </w:p>
    <w:bookmarkEnd w:id="44"/>
    <w:bookmarkStart w:name="z52" w:id="45"/>
    <w:p>
      <w:pPr>
        <w:spacing w:after="0"/>
        <w:ind w:left="0"/>
        <w:jc w:val="both"/>
      </w:pPr>
      <w:r>
        <w:rPr>
          <w:rFonts w:ascii="Times New Roman"/>
          <w:b w:val="false"/>
          <w:i w:val="false"/>
          <w:color w:val="000000"/>
          <w:sz w:val="28"/>
        </w:rPr>
        <w:t xml:space="preserve">
      29. В травостое преобладают следующие виды: овсец, ковыль - волосатик, ковыль Лессинга, ковыль тырсиковый, ковыль красный, типчак, тонконог, различные виды полыней: полынь австрийская, полынь холодная, полынь Маршалла, из степного разнотравья – зопник клубненосный, ферула, тысячелистник благородный, подмаренник настоящий и другие виды. </w:t>
      </w:r>
    </w:p>
    <w:bookmarkEnd w:id="45"/>
    <w:bookmarkStart w:name="z53" w:id="46"/>
    <w:p>
      <w:pPr>
        <w:spacing w:after="0"/>
        <w:ind w:left="0"/>
        <w:jc w:val="both"/>
      </w:pPr>
      <w:r>
        <w:rPr>
          <w:rFonts w:ascii="Times New Roman"/>
          <w:b w:val="false"/>
          <w:i w:val="false"/>
          <w:color w:val="000000"/>
          <w:sz w:val="28"/>
        </w:rPr>
        <w:t xml:space="preserve">
      30. На почвах с дополнительным поверхностным увлажнением в нижней трети пологих склонов, по днищам межсопочных долин произрастает та же растительность, но более развитая, с большим проективным покрытием и с большим участием разнотравья. </w:t>
      </w:r>
    </w:p>
    <w:bookmarkEnd w:id="46"/>
    <w:bookmarkStart w:name="z54" w:id="47"/>
    <w:p>
      <w:pPr>
        <w:spacing w:after="0"/>
        <w:ind w:left="0"/>
        <w:jc w:val="both"/>
      </w:pPr>
      <w:r>
        <w:rPr>
          <w:rFonts w:ascii="Times New Roman"/>
          <w:b w:val="false"/>
          <w:i w:val="false"/>
          <w:color w:val="000000"/>
          <w:sz w:val="28"/>
        </w:rPr>
        <w:t>
      31. Кроме травянистой растительности по склонам сопок и в межсопочных долинах произрастают кустарники: таволга зверобоелистная, карагана. На зональных почвах преобладают следующие растительные ассоциации: типчаково - ковыльковые, типчаково - тырсовые, типчаково - холоднополынные, типчаково - разнотравные и другие.</w:t>
      </w:r>
    </w:p>
    <w:bookmarkEnd w:id="47"/>
    <w:bookmarkStart w:name="z55" w:id="48"/>
    <w:p>
      <w:pPr>
        <w:spacing w:after="0"/>
        <w:ind w:left="0"/>
        <w:jc w:val="both"/>
      </w:pPr>
      <w:r>
        <w:rPr>
          <w:rFonts w:ascii="Times New Roman"/>
          <w:b w:val="false"/>
          <w:i w:val="false"/>
          <w:color w:val="000000"/>
          <w:sz w:val="28"/>
        </w:rPr>
        <w:t>
      32. Основной тип растительности – типчаково – ковыльно - полынный, часто присутствует карагана и таволга. Проективное покрытие составляет 40 - 50%. В межсопочных понижениях, поймах речек и ручьев, находящихся в условиях повышенного увлажнения развивается луговая растительность: пырей ползучий, тимофеевка, солодка голая, полевица белая, костер безостый, кровохлебка лекарственная, мышиный горошек, клевер пятилистный и другие растения. Травостой весьма сомкнутый, проективное покрытие может достигать 90%. На засоленных луговых и лугово - каштановых почвах в травостое преобладают грубостебельные злаки: чий и волоснец.</w:t>
      </w:r>
    </w:p>
    <w:bookmarkEnd w:id="48"/>
    <w:bookmarkStart w:name="z56" w:id="49"/>
    <w:p>
      <w:pPr>
        <w:spacing w:after="0"/>
        <w:ind w:left="0"/>
        <w:jc w:val="both"/>
      </w:pPr>
      <w:r>
        <w:rPr>
          <w:rFonts w:ascii="Times New Roman"/>
          <w:b w:val="false"/>
          <w:i w:val="false"/>
          <w:color w:val="000000"/>
          <w:sz w:val="28"/>
        </w:rPr>
        <w:t>
      33. На солонцах и сильносолонцеватых почвах растительность изрежена. Здесь преобладают полынь черная, камфоросма марсельская, вострец. Поверхность солончаков занята солелюбивой растительностью: бескильница, лебеда бородавчатая, различные солянки, чий.</w:t>
      </w:r>
    </w:p>
    <w:bookmarkEnd w:id="49"/>
    <w:bookmarkStart w:name="z57" w:id="50"/>
    <w:p>
      <w:pPr>
        <w:spacing w:after="0"/>
        <w:ind w:left="0"/>
        <w:jc w:val="both"/>
      </w:pPr>
      <w:r>
        <w:rPr>
          <w:rFonts w:ascii="Times New Roman"/>
          <w:b w:val="false"/>
          <w:i w:val="false"/>
          <w:color w:val="000000"/>
          <w:sz w:val="28"/>
        </w:rPr>
        <w:t>
      34. Ковыльные пастбища на территории округа распространенны повсеместно, наиболее часто встречаются ковыль тырса и ковылок, образующие следующие растительные асоциации: ковылково - типчаковые, тырсово - разнотравные и другие.</w:t>
      </w:r>
    </w:p>
    <w:bookmarkEnd w:id="50"/>
    <w:bookmarkStart w:name="z58" w:id="51"/>
    <w:p>
      <w:pPr>
        <w:spacing w:after="0"/>
        <w:ind w:left="0"/>
        <w:jc w:val="both"/>
      </w:pPr>
      <w:r>
        <w:rPr>
          <w:rFonts w:ascii="Times New Roman"/>
          <w:b w:val="false"/>
          <w:i w:val="false"/>
          <w:color w:val="000000"/>
          <w:sz w:val="28"/>
        </w:rPr>
        <w:t>
      35. Широкое распространение получили полынные и полынно - злаковые группировки: типчаково - холоднополынные, типчаково - разнополынные и другие.</w:t>
      </w:r>
    </w:p>
    <w:bookmarkEnd w:id="51"/>
    <w:bookmarkStart w:name="z59" w:id="52"/>
    <w:p>
      <w:pPr>
        <w:spacing w:after="0"/>
        <w:ind w:left="0"/>
        <w:jc w:val="both"/>
      </w:pPr>
      <w:r>
        <w:rPr>
          <w:rFonts w:ascii="Times New Roman"/>
          <w:b w:val="false"/>
          <w:i w:val="false"/>
          <w:color w:val="000000"/>
          <w:sz w:val="28"/>
        </w:rPr>
        <w:t>
      36. На лугово - каштановых почвах распространенны волоснецово - типчаковые, волоснецово - злаковые ассоциации растительности. В местах избыточного увлажнения на луговых и лугово - болотных почвах встречаются осоковые ассоциации, иногда с участием луговых злаков.</w:t>
      </w:r>
    </w:p>
    <w:bookmarkEnd w:id="52"/>
    <w:bookmarkStart w:name="z60" w:id="53"/>
    <w:p>
      <w:pPr>
        <w:spacing w:after="0"/>
        <w:ind w:left="0"/>
        <w:jc w:val="left"/>
      </w:pPr>
      <w:r>
        <w:rPr>
          <w:rFonts w:ascii="Times New Roman"/>
          <w:b/>
          <w:i w:val="false"/>
          <w:color w:val="000000"/>
        </w:rPr>
        <w:t xml:space="preserve"> Глава 6. Гидрография, гидрология и обводненность</w:t>
      </w:r>
    </w:p>
    <w:bookmarkEnd w:id="53"/>
    <w:bookmarkStart w:name="z61" w:id="54"/>
    <w:p>
      <w:pPr>
        <w:spacing w:after="0"/>
        <w:ind w:left="0"/>
        <w:jc w:val="both"/>
      </w:pPr>
      <w:r>
        <w:rPr>
          <w:rFonts w:ascii="Times New Roman"/>
          <w:b w:val="false"/>
          <w:i w:val="false"/>
          <w:color w:val="000000"/>
          <w:sz w:val="28"/>
        </w:rPr>
        <w:t>
      37. На западе протекает река Сокыр. Самый крупный правобережный приток река Сокыр – река Карагандинка, которая берет начало с холмов Оспан, длина реки 42 километра. Поблизости от города Сарани находятся притоки реки Чурубай - Нура. В 0,5 километра к северу от города расположено Саранское водохранилище с объемом воды 11,02 миллион кубических метров и площадью зеркала 5,4 квадратных метра.</w:t>
      </w:r>
    </w:p>
    <w:bookmarkEnd w:id="54"/>
    <w:bookmarkStart w:name="z62" w:id="55"/>
    <w:p>
      <w:pPr>
        <w:spacing w:after="0"/>
        <w:ind w:left="0"/>
        <w:jc w:val="both"/>
      </w:pPr>
      <w:r>
        <w:rPr>
          <w:rFonts w:ascii="Times New Roman"/>
          <w:b w:val="false"/>
          <w:i w:val="false"/>
          <w:color w:val="000000"/>
          <w:sz w:val="28"/>
        </w:rPr>
        <w:t xml:space="preserve">
      38. Подземные воды на административной территории города преимущественно трещинные, формируются повсеместно. Источником их питания являются атмосферные осадки, а также талые воды ледников и снежников. </w:t>
      </w:r>
    </w:p>
    <w:bookmarkEnd w:id="55"/>
    <w:bookmarkStart w:name="z63" w:id="56"/>
    <w:p>
      <w:pPr>
        <w:spacing w:after="0"/>
        <w:ind w:left="0"/>
        <w:jc w:val="both"/>
      </w:pPr>
      <w:r>
        <w:rPr>
          <w:rFonts w:ascii="Times New Roman"/>
          <w:b w:val="false"/>
          <w:i w:val="false"/>
          <w:color w:val="000000"/>
          <w:sz w:val="28"/>
        </w:rPr>
        <w:t xml:space="preserve">
      39. По химическому составу грунтовые воды пресные, от мягких до жестких. Для всей территории города характерны два типа режима: гидрогеологический - в долинах рек, и склоновый - на остальной части. Направление движения подземных вод совпадает с уклоном поверхности. В равных частях подземные воды теряют скорость и довольно близко подходят к земной поверхности. </w:t>
      </w:r>
    </w:p>
    <w:bookmarkEnd w:id="56"/>
    <w:bookmarkStart w:name="z64" w:id="57"/>
    <w:p>
      <w:pPr>
        <w:spacing w:after="0"/>
        <w:ind w:left="0"/>
        <w:jc w:val="both"/>
      </w:pPr>
      <w:r>
        <w:rPr>
          <w:rFonts w:ascii="Times New Roman"/>
          <w:b w:val="false"/>
          <w:i w:val="false"/>
          <w:color w:val="000000"/>
          <w:sz w:val="28"/>
        </w:rPr>
        <w:t xml:space="preserve">
      40. Основное сельскохозяйственное водоснабжение базируется на поверхностных водах, а питьевое водоснабжение организовано за счет подземных вод. Подземные воды подвержены интенсивному загрязнению в виду того, что часть административной территории расположена на низких террасах, кроме того, поверхность террас широко используется под пастбищные угодья, а на террасах подземные воды подходят близко к земной поверхности. </w:t>
      </w:r>
    </w:p>
    <w:bookmarkEnd w:id="57"/>
    <w:bookmarkStart w:name="z65" w:id="58"/>
    <w:p>
      <w:pPr>
        <w:spacing w:after="0"/>
        <w:ind w:left="0"/>
        <w:jc w:val="both"/>
      </w:pPr>
      <w:r>
        <w:rPr>
          <w:rFonts w:ascii="Times New Roman"/>
          <w:b w:val="false"/>
          <w:i w:val="false"/>
          <w:color w:val="000000"/>
          <w:sz w:val="28"/>
        </w:rPr>
        <w:t xml:space="preserve">
      41. Наиболее развита гидрографическая сеть правобережья, здесь формируется приток – река Карагандинка. </w:t>
      </w:r>
    </w:p>
    <w:bookmarkEnd w:id="58"/>
    <w:bookmarkStart w:name="z66" w:id="59"/>
    <w:p>
      <w:pPr>
        <w:spacing w:after="0"/>
        <w:ind w:left="0"/>
        <w:jc w:val="both"/>
      </w:pPr>
      <w:r>
        <w:rPr>
          <w:rFonts w:ascii="Times New Roman"/>
          <w:b w:val="false"/>
          <w:i w:val="false"/>
          <w:color w:val="000000"/>
          <w:sz w:val="28"/>
        </w:rPr>
        <w:t xml:space="preserve">
      42. Реки Сокыр и Карагандинка являются типичными реками с быстрым течением. Их сток составляет около 96% всего стока. В период весеннего половодья он увеличивается в 15 - 20 раз. В это время проходит до 80% годового стока. В межсезонном периоде мутность уменьшается в десятки раз. Вода в реках весной пресная (150 - 500 миллиграмм соли на литр). К концу паводкого периода степень минерализации возрастает в 1,5-3 раза. </w:t>
      </w:r>
    </w:p>
    <w:bookmarkEnd w:id="59"/>
    <w:bookmarkStart w:name="z67" w:id="60"/>
    <w:p>
      <w:pPr>
        <w:spacing w:after="0"/>
        <w:ind w:left="0"/>
        <w:jc w:val="both"/>
      </w:pPr>
      <w:r>
        <w:rPr>
          <w:rFonts w:ascii="Times New Roman"/>
          <w:b w:val="false"/>
          <w:i w:val="false"/>
          <w:color w:val="000000"/>
          <w:sz w:val="28"/>
        </w:rPr>
        <w:t xml:space="preserve">
      43. Водный режим этих рек характеризуется весенним половодьем и многочисленными летними и осенними дождевыми паводками. </w:t>
      </w:r>
    </w:p>
    <w:bookmarkEnd w:id="60"/>
    <w:bookmarkStart w:name="z68" w:id="61"/>
    <w:p>
      <w:pPr>
        <w:spacing w:after="0"/>
        <w:ind w:left="0"/>
        <w:jc w:val="both"/>
      </w:pPr>
      <w:r>
        <w:rPr>
          <w:rFonts w:ascii="Times New Roman"/>
          <w:b w:val="false"/>
          <w:i w:val="false"/>
          <w:color w:val="000000"/>
          <w:sz w:val="28"/>
        </w:rPr>
        <w:t xml:space="preserve">
      44. Наличие достаточного количества водных источников обеспечивают полную обводненность пастбищных угодий. </w:t>
      </w:r>
    </w:p>
    <w:bookmarkEnd w:id="61"/>
    <w:bookmarkStart w:name="z69" w:id="62"/>
    <w:p>
      <w:pPr>
        <w:spacing w:after="0"/>
        <w:ind w:left="0"/>
        <w:jc w:val="left"/>
      </w:pPr>
      <w:r>
        <w:rPr>
          <w:rFonts w:ascii="Times New Roman"/>
          <w:b/>
          <w:i w:val="false"/>
          <w:color w:val="000000"/>
        </w:rPr>
        <w:t xml:space="preserve"> Глава 7. Геоботаника</w:t>
      </w:r>
    </w:p>
    <w:bookmarkEnd w:id="62"/>
    <w:bookmarkStart w:name="z70" w:id="63"/>
    <w:p>
      <w:pPr>
        <w:spacing w:after="0"/>
        <w:ind w:left="0"/>
        <w:jc w:val="both"/>
      </w:pPr>
      <w:r>
        <w:rPr>
          <w:rFonts w:ascii="Times New Roman"/>
          <w:b w:val="false"/>
          <w:i w:val="false"/>
          <w:color w:val="000000"/>
          <w:sz w:val="28"/>
        </w:rPr>
        <w:t xml:space="preserve">
      45. Согласно геоботаническому обследованию сельскохозяйственных угодий 2017 года, пастбища по городу характеризуются следующими показателями. </w:t>
      </w:r>
    </w:p>
    <w:bookmarkEnd w:id="63"/>
    <w:bookmarkStart w:name="z71" w:id="64"/>
    <w:p>
      <w:pPr>
        <w:spacing w:after="0"/>
        <w:ind w:left="0"/>
        <w:jc w:val="both"/>
      </w:pPr>
      <w:r>
        <w:rPr>
          <w:rFonts w:ascii="Times New Roman"/>
          <w:b w:val="false"/>
          <w:i w:val="false"/>
          <w:color w:val="000000"/>
          <w:sz w:val="28"/>
        </w:rPr>
        <w:t>
      46. Административная территория города Сарани расположена в зоне сухих степей в подзоне темно - каштановых почв и относится к Центрально - Казахстанской провинции.</w:t>
      </w:r>
    </w:p>
    <w:bookmarkEnd w:id="64"/>
    <w:bookmarkStart w:name="z72" w:id="65"/>
    <w:p>
      <w:pPr>
        <w:spacing w:after="0"/>
        <w:ind w:left="0"/>
        <w:jc w:val="both"/>
      </w:pPr>
      <w:r>
        <w:rPr>
          <w:rFonts w:ascii="Times New Roman"/>
          <w:b w:val="false"/>
          <w:i w:val="false"/>
          <w:color w:val="000000"/>
          <w:sz w:val="28"/>
        </w:rPr>
        <w:t xml:space="preserve">
      47. Разнообразный рельеф и вследствие этого весьма неравномерное распределение выпадающих осадков, а также большая пестрота почвообразующих пород обуславливают довольно большое разнообразие почв. </w:t>
      </w:r>
    </w:p>
    <w:bookmarkEnd w:id="65"/>
    <w:bookmarkStart w:name="z73" w:id="66"/>
    <w:p>
      <w:pPr>
        <w:spacing w:after="0"/>
        <w:ind w:left="0"/>
        <w:jc w:val="both"/>
      </w:pPr>
      <w:r>
        <w:rPr>
          <w:rFonts w:ascii="Times New Roman"/>
          <w:b w:val="false"/>
          <w:i w:val="false"/>
          <w:color w:val="000000"/>
          <w:sz w:val="28"/>
        </w:rPr>
        <w:t>
      48. Систематический список почв, встречающихся на территории города Сарани, представляется согласно приложению 1.</w:t>
      </w:r>
    </w:p>
    <w:bookmarkEnd w:id="66"/>
    <w:bookmarkStart w:name="z74" w:id="67"/>
    <w:p>
      <w:pPr>
        <w:spacing w:after="0"/>
        <w:ind w:left="0"/>
        <w:jc w:val="left"/>
      </w:pPr>
      <w:r>
        <w:rPr>
          <w:rFonts w:ascii="Times New Roman"/>
          <w:b/>
          <w:i w:val="false"/>
          <w:color w:val="000000"/>
        </w:rPr>
        <w:t xml:space="preserve"> Глава 8. Почвы</w:t>
      </w:r>
    </w:p>
    <w:bookmarkEnd w:id="67"/>
    <w:bookmarkStart w:name="z75" w:id="68"/>
    <w:p>
      <w:pPr>
        <w:spacing w:after="0"/>
        <w:ind w:left="0"/>
        <w:jc w:val="both"/>
      </w:pPr>
      <w:r>
        <w:rPr>
          <w:rFonts w:ascii="Times New Roman"/>
          <w:b w:val="false"/>
          <w:i w:val="false"/>
          <w:color w:val="000000"/>
          <w:sz w:val="28"/>
        </w:rPr>
        <w:t>
      49. Самыми распространенными почвами пахотных угодий являются темно-каштановые почвы, их многочисленные разновидности, различающиеся по мощности гумусового горизонта, содержанию гумуса, по содержанию элементов питания (азота, фосфора, калия), по степени развития солонцового процесса, по глубине залегания различных по химизму солей, по количеству и глубине залегания карбонатов, гипса, по механическому составу, степени скелетности и каменистости.</w:t>
      </w:r>
    </w:p>
    <w:bookmarkEnd w:id="68"/>
    <w:bookmarkStart w:name="z76" w:id="69"/>
    <w:p>
      <w:pPr>
        <w:spacing w:after="0"/>
        <w:ind w:left="0"/>
        <w:jc w:val="both"/>
      </w:pPr>
      <w:r>
        <w:rPr>
          <w:rFonts w:ascii="Times New Roman"/>
          <w:b w:val="false"/>
          <w:i w:val="false"/>
          <w:color w:val="000000"/>
          <w:sz w:val="28"/>
        </w:rPr>
        <w:t xml:space="preserve">
      50. В условиях повышенного увлажнения, являющегося следствием стекания воды с окружающих склонов или близкого залегания грунтовых вод, в неглубоких депрессиях и приозерных понижениях развивается луговая злаково - разнотравная растительность, под которой формируются почвы гидроморфного и полугидроморфного ряда, разной степени солонцеватости и засоления. Это лугово - каштановые, луговые и лугово - болотные почвы. Данные почвы имеют более темно - окрашенный, более выраженный верхний гумусовый горизонт, содержание гумуса, как правило, значительно превышает содержание его в автоморфных темно - каштановых почвах. Часто эти почвы залегают в комплексе с луговыми или лугово - каштановыми солонцами, иногда в комплексе с солончаками луговыми или типичными. </w:t>
      </w:r>
    </w:p>
    <w:bookmarkEnd w:id="69"/>
    <w:bookmarkStart w:name="z77" w:id="70"/>
    <w:p>
      <w:pPr>
        <w:spacing w:after="0"/>
        <w:ind w:left="0"/>
        <w:jc w:val="left"/>
      </w:pPr>
      <w:r>
        <w:rPr>
          <w:rFonts w:ascii="Times New Roman"/>
          <w:b/>
          <w:i w:val="false"/>
          <w:color w:val="000000"/>
        </w:rPr>
        <w:t xml:space="preserve"> Глава 9. Состояние земельного фонда города и его использование</w:t>
      </w:r>
    </w:p>
    <w:bookmarkEnd w:id="70"/>
    <w:bookmarkStart w:name="z78" w:id="71"/>
    <w:p>
      <w:pPr>
        <w:spacing w:after="0"/>
        <w:ind w:left="0"/>
        <w:jc w:val="left"/>
      </w:pPr>
      <w:r>
        <w:rPr>
          <w:rFonts w:ascii="Times New Roman"/>
          <w:b/>
          <w:i w:val="false"/>
          <w:color w:val="000000"/>
        </w:rPr>
        <w:t xml:space="preserve"> Параграф 1. Распределение земельного фонда по категориям земель</w:t>
      </w:r>
    </w:p>
    <w:bookmarkEnd w:id="71"/>
    <w:bookmarkStart w:name="z79" w:id="72"/>
    <w:p>
      <w:pPr>
        <w:spacing w:after="0"/>
        <w:ind w:left="0"/>
        <w:jc w:val="both"/>
      </w:pPr>
      <w:r>
        <w:rPr>
          <w:rFonts w:ascii="Times New Roman"/>
          <w:b w:val="false"/>
          <w:i w:val="false"/>
          <w:color w:val="000000"/>
          <w:sz w:val="28"/>
        </w:rPr>
        <w:t xml:space="preserve">
      51. По данным земельного учета на 1 ноября 2017 года площадь, закрепленная за городом, составляет 16104 гектара. В зависимости от целевого назначения весь земельный фонд города распределяется по категориям согласно приложению 2. </w:t>
      </w:r>
    </w:p>
    <w:bookmarkEnd w:id="72"/>
    <w:bookmarkStart w:name="z80" w:id="73"/>
    <w:p>
      <w:pPr>
        <w:spacing w:after="0"/>
        <w:ind w:left="0"/>
        <w:jc w:val="both"/>
      </w:pPr>
      <w:r>
        <w:rPr>
          <w:rFonts w:ascii="Times New Roman"/>
          <w:b w:val="false"/>
          <w:i w:val="false"/>
          <w:color w:val="000000"/>
          <w:sz w:val="28"/>
        </w:rPr>
        <w:t xml:space="preserve">
      52. Из таблицы следует, что земли сельскохозяйственного использования составляют 4,7%, земли населенных пунктов занимают 82,6% территории города, на долю земель лесного фонда приходится 10%, земли водного фонда составляют 2,7% территории города. </w:t>
      </w:r>
    </w:p>
    <w:bookmarkEnd w:id="73"/>
    <w:bookmarkStart w:name="z81" w:id="74"/>
    <w:p>
      <w:pPr>
        <w:spacing w:after="0"/>
        <w:ind w:left="0"/>
        <w:jc w:val="both"/>
      </w:pPr>
      <w:r>
        <w:rPr>
          <w:rFonts w:ascii="Times New Roman"/>
          <w:b w:val="false"/>
          <w:i w:val="false"/>
          <w:color w:val="000000"/>
          <w:sz w:val="28"/>
        </w:rPr>
        <w:t xml:space="preserve">
      53. Земли сельскохозяйственного использования составляют 754 гектара. Практически все земли сельскохозяйственного использования находятся в постоянном, а так же временном возмездном долгосрочном землепользовании физических лиц. </w:t>
      </w:r>
    </w:p>
    <w:bookmarkEnd w:id="74"/>
    <w:bookmarkStart w:name="z82" w:id="75"/>
    <w:p>
      <w:pPr>
        <w:spacing w:after="0"/>
        <w:ind w:left="0"/>
        <w:jc w:val="both"/>
      </w:pPr>
      <w:r>
        <w:rPr>
          <w:rFonts w:ascii="Times New Roman"/>
          <w:b w:val="false"/>
          <w:i w:val="false"/>
          <w:color w:val="000000"/>
          <w:sz w:val="28"/>
        </w:rPr>
        <w:t>
      54. Из земель сельскохозяйственного использования 27 % (203 гектара) земли для ведения крестьянских хозяйств, 73 % (551 гектар) земли для садоводства и дачного строительства.</w:t>
      </w:r>
    </w:p>
    <w:bookmarkEnd w:id="75"/>
    <w:bookmarkStart w:name="z83" w:id="76"/>
    <w:p>
      <w:pPr>
        <w:spacing w:after="0"/>
        <w:ind w:left="0"/>
        <w:jc w:val="both"/>
      </w:pPr>
      <w:r>
        <w:rPr>
          <w:rFonts w:ascii="Times New Roman"/>
          <w:b w:val="false"/>
          <w:i w:val="false"/>
          <w:color w:val="000000"/>
          <w:sz w:val="28"/>
        </w:rPr>
        <w:t xml:space="preserve">
      55. Земли населенных пунктов составляют 13302 гектара, это 82,6% от всей площади города Сарани и поселка Актас. </w:t>
      </w:r>
    </w:p>
    <w:bookmarkEnd w:id="76"/>
    <w:bookmarkStart w:name="z84" w:id="77"/>
    <w:p>
      <w:pPr>
        <w:spacing w:after="0"/>
        <w:ind w:left="0"/>
        <w:jc w:val="both"/>
      </w:pPr>
      <w:r>
        <w:rPr>
          <w:rFonts w:ascii="Times New Roman"/>
          <w:b w:val="false"/>
          <w:i w:val="false"/>
          <w:color w:val="000000"/>
          <w:sz w:val="28"/>
        </w:rPr>
        <w:t>
      56. В том числе, состав земель населенных пунктов входят земли жилой застройки – 24 гектара, земли общественно - деловой застройки – 47 гектаров, земли производственной застройки – 2583 гектара, земли автомобильного транспорта – 147 гектаров, земли железнодорожного транспорта – 39 гектаров, земли связи и энергетики – 0,84 гектара, это земли, занятые опорами воздушных линий, подземными линиями связи, подстанциями и другими сооружениями, необходимыми для их функционирования, земли обороны и иного сельскохозяйственного назначения – 223 гектара.</w:t>
      </w:r>
    </w:p>
    <w:bookmarkEnd w:id="77"/>
    <w:bookmarkStart w:name="z85" w:id="78"/>
    <w:p>
      <w:pPr>
        <w:spacing w:after="0"/>
        <w:ind w:left="0"/>
        <w:jc w:val="both"/>
      </w:pPr>
      <w:r>
        <w:rPr>
          <w:rFonts w:ascii="Times New Roman"/>
          <w:b w:val="false"/>
          <w:i w:val="false"/>
          <w:color w:val="000000"/>
          <w:sz w:val="28"/>
        </w:rPr>
        <w:t xml:space="preserve">
      57. В земли населенных пунктов вошли сельскохозяйственные угодья, земли занятые постройками, улицами, площадями, земли под водой и прочие земли, необходимые для организации жизнеобеспечения населения. </w:t>
      </w:r>
    </w:p>
    <w:bookmarkEnd w:id="78"/>
    <w:bookmarkStart w:name="z86" w:id="79"/>
    <w:p>
      <w:pPr>
        <w:spacing w:after="0"/>
        <w:ind w:left="0"/>
        <w:jc w:val="both"/>
      </w:pPr>
      <w:r>
        <w:rPr>
          <w:rFonts w:ascii="Times New Roman"/>
          <w:b w:val="false"/>
          <w:i w:val="false"/>
          <w:color w:val="000000"/>
          <w:sz w:val="28"/>
        </w:rPr>
        <w:t xml:space="preserve">
      58. Земли лесного фонда занимают 1606 гектаров, это 10% от территории города, используются для ведения лесного хозяйства. </w:t>
      </w:r>
    </w:p>
    <w:bookmarkEnd w:id="79"/>
    <w:bookmarkStart w:name="z87" w:id="80"/>
    <w:p>
      <w:pPr>
        <w:spacing w:after="0"/>
        <w:ind w:left="0"/>
        <w:jc w:val="both"/>
      </w:pPr>
      <w:r>
        <w:rPr>
          <w:rFonts w:ascii="Times New Roman"/>
          <w:b w:val="false"/>
          <w:i w:val="false"/>
          <w:color w:val="000000"/>
          <w:sz w:val="28"/>
        </w:rPr>
        <w:t xml:space="preserve">
      59. Земли водного фонда занимают площадь 442 гектара, что составляет 2,7% от общей площади. Водный фонд представлен Саранским водохранилищем, водные запасы которых частично используются для технических нужд, орошения земель и для водопоя скота. </w:t>
      </w:r>
    </w:p>
    <w:bookmarkEnd w:id="80"/>
    <w:bookmarkStart w:name="z88" w:id="81"/>
    <w:p>
      <w:pPr>
        <w:spacing w:after="0"/>
        <w:ind w:left="0"/>
        <w:jc w:val="both"/>
      </w:pPr>
      <w:r>
        <w:rPr>
          <w:rFonts w:ascii="Times New Roman"/>
          <w:b w:val="false"/>
          <w:i w:val="false"/>
          <w:color w:val="000000"/>
          <w:sz w:val="28"/>
        </w:rPr>
        <w:t xml:space="preserve">
      60. Почти все земли, пригодные для сельскохозяйственного использования, закреплены за землепользователями. Очень интенсивно используются земли населенных пунктов, особенно пастбищные угодья. </w:t>
      </w:r>
    </w:p>
    <w:bookmarkEnd w:id="81"/>
    <w:bookmarkStart w:name="z89" w:id="82"/>
    <w:p>
      <w:pPr>
        <w:spacing w:after="0"/>
        <w:ind w:left="0"/>
        <w:jc w:val="left"/>
      </w:pPr>
      <w:r>
        <w:rPr>
          <w:rFonts w:ascii="Times New Roman"/>
          <w:b/>
          <w:i w:val="false"/>
          <w:color w:val="000000"/>
        </w:rPr>
        <w:t xml:space="preserve"> Параграф 2. Распределение земельного фонда по угодьям</w:t>
      </w:r>
    </w:p>
    <w:bookmarkEnd w:id="82"/>
    <w:bookmarkStart w:name="z90" w:id="83"/>
    <w:p>
      <w:pPr>
        <w:spacing w:after="0"/>
        <w:ind w:left="0"/>
        <w:jc w:val="both"/>
      </w:pPr>
      <w:r>
        <w:rPr>
          <w:rFonts w:ascii="Times New Roman"/>
          <w:b w:val="false"/>
          <w:i w:val="false"/>
          <w:color w:val="000000"/>
          <w:sz w:val="28"/>
        </w:rPr>
        <w:t>
      61. Площадь сельскохозяйственных угодий по городу составляет 3757 гектаров. Основную часть сельскохозяйственных угодий занимают пастбища и составляют 3291 гектар, 87,6% от сельскохозяйственных угодий. Кроме того, пашни – 272 гектара, многолетние насаждения – 91 гектар, под огороды – 7 гектаров, залежи – 96 гектаров.</w:t>
      </w:r>
    </w:p>
    <w:bookmarkEnd w:id="83"/>
    <w:bookmarkStart w:name="z91" w:id="84"/>
    <w:p>
      <w:pPr>
        <w:spacing w:after="0"/>
        <w:ind w:left="0"/>
        <w:jc w:val="left"/>
      </w:pPr>
      <w:r>
        <w:rPr>
          <w:rFonts w:ascii="Times New Roman"/>
          <w:b/>
          <w:i w:val="false"/>
          <w:color w:val="000000"/>
        </w:rPr>
        <w:t xml:space="preserve"> Параграф 3. Использование территории населенных пунктов</w:t>
      </w:r>
    </w:p>
    <w:bookmarkEnd w:id="84"/>
    <w:bookmarkStart w:name="z92" w:id="85"/>
    <w:p>
      <w:pPr>
        <w:spacing w:after="0"/>
        <w:ind w:left="0"/>
        <w:jc w:val="both"/>
      </w:pPr>
      <w:r>
        <w:rPr>
          <w:rFonts w:ascii="Times New Roman"/>
          <w:b w:val="false"/>
          <w:i w:val="false"/>
          <w:color w:val="000000"/>
          <w:sz w:val="28"/>
        </w:rPr>
        <w:t xml:space="preserve">
      62. Общая площадь земель населенных пунктов составляет 13302 гектара, в том числе сельскохозяйственные угодья - 2941 гектар, под постройками находится 3138 гектаров, под водой - 83 гектара, кустарники и прочие угодья составляют 164 гектара. </w:t>
      </w:r>
    </w:p>
    <w:bookmarkEnd w:id="85"/>
    <w:bookmarkStart w:name="z93" w:id="86"/>
    <w:p>
      <w:pPr>
        <w:spacing w:after="0"/>
        <w:ind w:left="0"/>
        <w:jc w:val="both"/>
      </w:pPr>
      <w:r>
        <w:rPr>
          <w:rFonts w:ascii="Times New Roman"/>
          <w:b w:val="false"/>
          <w:i w:val="false"/>
          <w:color w:val="000000"/>
          <w:sz w:val="28"/>
        </w:rPr>
        <w:t xml:space="preserve">
      63. Расчет потребности в пастбищах проведен согласно норм нагрузки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3 - 3/332 "Об утверждении предельно допустимой нормы нагрузки на общую площадь пастбищ" (зарегестрирован в реестре государственной регистрации нормативных правовых актов №11064), на основании материалов геоботанических обследований. </w:t>
      </w:r>
    </w:p>
    <w:bookmarkEnd w:id="86"/>
    <w:bookmarkStart w:name="z94" w:id="87"/>
    <w:p>
      <w:pPr>
        <w:spacing w:after="0"/>
        <w:ind w:left="0"/>
        <w:jc w:val="both"/>
      </w:pPr>
      <w:r>
        <w:rPr>
          <w:rFonts w:ascii="Times New Roman"/>
          <w:b w:val="false"/>
          <w:i w:val="false"/>
          <w:color w:val="000000"/>
          <w:sz w:val="28"/>
        </w:rPr>
        <w:t xml:space="preserve">
      64. Большие площади пастбищ, находящиеся вблизи населенных пунктов, предоставлены в землепользование хозяйствующим субъектам, в связи с чем, в рамках проведения ревизии земельных участков сельскохозяйственного назначения в 2018 году необходимо определить неиспользуемые хозяйствами участки пастбищ для последующего отчуждения у землепользователей и перераспределения для нужд населения. </w:t>
      </w:r>
    </w:p>
    <w:bookmarkEnd w:id="87"/>
    <w:bookmarkStart w:name="z95" w:id="88"/>
    <w:p>
      <w:pPr>
        <w:spacing w:after="0"/>
        <w:ind w:left="0"/>
        <w:jc w:val="both"/>
      </w:pPr>
      <w:r>
        <w:rPr>
          <w:rFonts w:ascii="Times New Roman"/>
          <w:b w:val="false"/>
          <w:i w:val="false"/>
          <w:color w:val="000000"/>
          <w:sz w:val="28"/>
        </w:rPr>
        <w:t xml:space="preserve">
      65. При использовании сельскохозяйственных угодий в населенных пунктах необходимо соблюдать пастбищеоборот, что улучшит состояние кормовой базы. Для обеспечения скота пастбищными кормами в летний период поголовье коров и молодняка до 6 месяцев предлагается оставить на выпасе на пастбищах, находящихся вблизи населенных пунктов. Для молодняка старшего возраста и лошадей рекомендуется организовать выпас на более отдаленных пастбищах. </w:t>
      </w:r>
    </w:p>
    <w:bookmarkEnd w:id="88"/>
    <w:bookmarkStart w:name="z96" w:id="89"/>
    <w:p>
      <w:pPr>
        <w:spacing w:after="0"/>
        <w:ind w:left="0"/>
        <w:jc w:val="left"/>
      </w:pPr>
      <w:r>
        <w:rPr>
          <w:rFonts w:ascii="Times New Roman"/>
          <w:b/>
          <w:i w:val="false"/>
          <w:color w:val="000000"/>
        </w:rPr>
        <w:t xml:space="preserve"> Глава 10. План по управлению пастбищами и их использованию</w:t>
      </w:r>
    </w:p>
    <w:bookmarkEnd w:id="89"/>
    <w:bookmarkStart w:name="z97" w:id="90"/>
    <w:p>
      <w:pPr>
        <w:spacing w:after="0"/>
        <w:ind w:left="0"/>
        <w:jc w:val="both"/>
      </w:pPr>
      <w:r>
        <w:rPr>
          <w:rFonts w:ascii="Times New Roman"/>
          <w:b w:val="false"/>
          <w:i w:val="false"/>
          <w:color w:val="000000"/>
          <w:sz w:val="28"/>
        </w:rPr>
        <w:t>
      66. План по управлению пастбищами и их использованию включает:</w:t>
      </w:r>
    </w:p>
    <w:bookmarkEnd w:id="90"/>
    <w:bookmarkStart w:name="z98" w:id="91"/>
    <w:p>
      <w:pPr>
        <w:spacing w:after="0"/>
        <w:ind w:left="0"/>
        <w:jc w:val="both"/>
      </w:pPr>
      <w:r>
        <w:rPr>
          <w:rFonts w:ascii="Times New Roman"/>
          <w:b w:val="false"/>
          <w:i w:val="false"/>
          <w:color w:val="000000"/>
          <w:sz w:val="28"/>
        </w:rPr>
        <w:t xml:space="preserve">
      1) систематический список почв, встречающихся на территории города Сарани представлен согласно </w:t>
      </w:r>
      <w:r>
        <w:rPr>
          <w:rFonts w:ascii="Times New Roman"/>
          <w:b w:val="false"/>
          <w:i w:val="false"/>
          <w:color w:val="000000"/>
          <w:sz w:val="28"/>
        </w:rPr>
        <w:t>приложению 1</w:t>
      </w:r>
      <w:r>
        <w:rPr>
          <w:rFonts w:ascii="Times New Roman"/>
          <w:b w:val="false"/>
          <w:i w:val="false"/>
          <w:color w:val="000000"/>
          <w:sz w:val="28"/>
        </w:rPr>
        <w:t>;</w:t>
      </w:r>
    </w:p>
    <w:bookmarkEnd w:id="91"/>
    <w:bookmarkStart w:name="z99" w:id="92"/>
    <w:p>
      <w:pPr>
        <w:spacing w:after="0"/>
        <w:ind w:left="0"/>
        <w:jc w:val="both"/>
      </w:pPr>
      <w:r>
        <w:rPr>
          <w:rFonts w:ascii="Times New Roman"/>
          <w:b w:val="false"/>
          <w:i w:val="false"/>
          <w:color w:val="000000"/>
          <w:sz w:val="28"/>
        </w:rPr>
        <w:t xml:space="preserve">
      2) таблица земельного фонда по категориям земель представлен согласно </w:t>
      </w:r>
      <w:r>
        <w:rPr>
          <w:rFonts w:ascii="Times New Roman"/>
          <w:b w:val="false"/>
          <w:i w:val="false"/>
          <w:color w:val="000000"/>
          <w:sz w:val="28"/>
        </w:rPr>
        <w:t>приложению 2</w:t>
      </w:r>
      <w:r>
        <w:rPr>
          <w:rFonts w:ascii="Times New Roman"/>
          <w:b w:val="false"/>
          <w:i w:val="false"/>
          <w:color w:val="000000"/>
          <w:sz w:val="28"/>
        </w:rPr>
        <w:t>;</w:t>
      </w:r>
    </w:p>
    <w:bookmarkEnd w:id="92"/>
    <w:bookmarkStart w:name="z100" w:id="93"/>
    <w:p>
      <w:pPr>
        <w:spacing w:after="0"/>
        <w:ind w:left="0"/>
        <w:jc w:val="both"/>
      </w:pPr>
      <w:r>
        <w:rPr>
          <w:rFonts w:ascii="Times New Roman"/>
          <w:b w:val="false"/>
          <w:i w:val="false"/>
          <w:color w:val="000000"/>
          <w:sz w:val="28"/>
        </w:rPr>
        <w:t xml:space="preserve">
      3)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представлена согласно </w:t>
      </w:r>
      <w:r>
        <w:rPr>
          <w:rFonts w:ascii="Times New Roman"/>
          <w:b w:val="false"/>
          <w:i w:val="false"/>
          <w:color w:val="000000"/>
          <w:sz w:val="28"/>
        </w:rPr>
        <w:t>приложению 3</w:t>
      </w:r>
      <w:r>
        <w:rPr>
          <w:rFonts w:ascii="Times New Roman"/>
          <w:b w:val="false"/>
          <w:i w:val="false"/>
          <w:color w:val="000000"/>
          <w:sz w:val="28"/>
        </w:rPr>
        <w:t>;</w:t>
      </w:r>
    </w:p>
    <w:bookmarkEnd w:id="93"/>
    <w:bookmarkStart w:name="z101" w:id="94"/>
    <w:p>
      <w:pPr>
        <w:spacing w:after="0"/>
        <w:ind w:left="0"/>
        <w:jc w:val="both"/>
      </w:pPr>
      <w:r>
        <w:rPr>
          <w:rFonts w:ascii="Times New Roman"/>
          <w:b w:val="false"/>
          <w:i w:val="false"/>
          <w:color w:val="000000"/>
          <w:sz w:val="28"/>
        </w:rPr>
        <w:t xml:space="preserve">
      4) карта с обозначением внешних и внутренних границ и площадей пастбищ, в том числе сезонных, объектов пастбищной инфраструктуры представлена согласно </w:t>
      </w:r>
      <w:r>
        <w:rPr>
          <w:rFonts w:ascii="Times New Roman"/>
          <w:b w:val="false"/>
          <w:i w:val="false"/>
          <w:color w:val="000000"/>
          <w:sz w:val="28"/>
        </w:rPr>
        <w:t>приложению 4</w:t>
      </w:r>
      <w:r>
        <w:rPr>
          <w:rFonts w:ascii="Times New Roman"/>
          <w:b w:val="false"/>
          <w:i w:val="false"/>
          <w:color w:val="000000"/>
          <w:sz w:val="28"/>
        </w:rPr>
        <w:t>;</w:t>
      </w:r>
    </w:p>
    <w:bookmarkEnd w:id="94"/>
    <w:bookmarkStart w:name="z102" w:id="95"/>
    <w:p>
      <w:pPr>
        <w:spacing w:after="0"/>
        <w:ind w:left="0"/>
        <w:jc w:val="both"/>
      </w:pPr>
      <w:r>
        <w:rPr>
          <w:rFonts w:ascii="Times New Roman"/>
          <w:b w:val="false"/>
          <w:i w:val="false"/>
          <w:color w:val="000000"/>
          <w:sz w:val="28"/>
        </w:rPr>
        <w:t xml:space="preserve">
      5) схема доступа пастбищепользователей к водным источникам представлена согласно </w:t>
      </w:r>
      <w:r>
        <w:rPr>
          <w:rFonts w:ascii="Times New Roman"/>
          <w:b w:val="false"/>
          <w:i w:val="false"/>
          <w:color w:val="000000"/>
          <w:sz w:val="28"/>
        </w:rPr>
        <w:t>приложению 5</w:t>
      </w:r>
      <w:r>
        <w:rPr>
          <w:rFonts w:ascii="Times New Roman"/>
          <w:b w:val="false"/>
          <w:i w:val="false"/>
          <w:color w:val="000000"/>
          <w:sz w:val="28"/>
        </w:rPr>
        <w:t>;</w:t>
      </w:r>
    </w:p>
    <w:bookmarkEnd w:id="95"/>
    <w:bookmarkStart w:name="z103" w:id="96"/>
    <w:p>
      <w:pPr>
        <w:spacing w:after="0"/>
        <w:ind w:left="0"/>
        <w:jc w:val="both"/>
      </w:pPr>
      <w:r>
        <w:rPr>
          <w:rFonts w:ascii="Times New Roman"/>
          <w:b w:val="false"/>
          <w:i w:val="false"/>
          <w:color w:val="000000"/>
          <w:sz w:val="28"/>
        </w:rPr>
        <w:t xml:space="preserve">
      6)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представлена согласно </w:t>
      </w:r>
      <w:r>
        <w:rPr>
          <w:rFonts w:ascii="Times New Roman"/>
          <w:b w:val="false"/>
          <w:i w:val="false"/>
          <w:color w:val="000000"/>
          <w:sz w:val="28"/>
        </w:rPr>
        <w:t>приложению 6</w:t>
      </w:r>
      <w:r>
        <w:rPr>
          <w:rFonts w:ascii="Times New Roman"/>
          <w:b w:val="false"/>
          <w:i w:val="false"/>
          <w:color w:val="000000"/>
          <w:sz w:val="28"/>
        </w:rPr>
        <w:t>;</w:t>
      </w:r>
    </w:p>
    <w:bookmarkEnd w:id="96"/>
    <w:bookmarkStart w:name="z104" w:id="97"/>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представлен согласно </w:t>
      </w:r>
      <w:r>
        <w:rPr>
          <w:rFonts w:ascii="Times New Roman"/>
          <w:b w:val="false"/>
          <w:i w:val="false"/>
          <w:color w:val="000000"/>
          <w:sz w:val="28"/>
        </w:rPr>
        <w:t>приложению 7</w:t>
      </w:r>
      <w:r>
        <w:rPr>
          <w:rFonts w:ascii="Times New Roman"/>
          <w:b w:val="false"/>
          <w:i w:val="false"/>
          <w:color w:val="000000"/>
          <w:sz w:val="28"/>
        </w:rPr>
        <w:t>;</w:t>
      </w:r>
    </w:p>
    <w:bookmarkEnd w:id="97"/>
    <w:bookmarkStart w:name="z105" w:id="98"/>
    <w:p>
      <w:pPr>
        <w:spacing w:after="0"/>
        <w:ind w:left="0"/>
        <w:jc w:val="both"/>
      </w:pPr>
      <w:r>
        <w:rPr>
          <w:rFonts w:ascii="Times New Roman"/>
          <w:b w:val="false"/>
          <w:i w:val="false"/>
          <w:color w:val="000000"/>
          <w:sz w:val="28"/>
        </w:rPr>
        <w:t xml:space="preserve">
      8) информация о ветеринарно - санитарных объектах представлена согласно </w:t>
      </w:r>
      <w:r>
        <w:rPr>
          <w:rFonts w:ascii="Times New Roman"/>
          <w:b w:val="false"/>
          <w:i w:val="false"/>
          <w:color w:val="000000"/>
          <w:sz w:val="28"/>
        </w:rPr>
        <w:t>приложению 8</w:t>
      </w:r>
      <w:r>
        <w:rPr>
          <w:rFonts w:ascii="Times New Roman"/>
          <w:b w:val="false"/>
          <w:i w:val="false"/>
          <w:color w:val="000000"/>
          <w:sz w:val="28"/>
        </w:rPr>
        <w:t>;</w:t>
      </w:r>
    </w:p>
    <w:bookmarkEnd w:id="98"/>
    <w:bookmarkStart w:name="z106" w:id="99"/>
    <w:p>
      <w:pPr>
        <w:spacing w:after="0"/>
        <w:ind w:left="0"/>
        <w:jc w:val="both"/>
      </w:pPr>
      <w:r>
        <w:rPr>
          <w:rFonts w:ascii="Times New Roman"/>
          <w:b w:val="false"/>
          <w:i w:val="false"/>
          <w:color w:val="000000"/>
          <w:sz w:val="28"/>
        </w:rPr>
        <w:t xml:space="preserve">
      9) информация по численности поголовья сельскохозяйственных животных представлена согласно </w:t>
      </w:r>
      <w:r>
        <w:rPr>
          <w:rFonts w:ascii="Times New Roman"/>
          <w:b w:val="false"/>
          <w:i w:val="false"/>
          <w:color w:val="000000"/>
          <w:sz w:val="28"/>
        </w:rPr>
        <w:t>приложению 9</w:t>
      </w:r>
      <w:r>
        <w:rPr>
          <w:rFonts w:ascii="Times New Roman"/>
          <w:b w:val="false"/>
          <w:i w:val="false"/>
          <w:color w:val="000000"/>
          <w:sz w:val="28"/>
        </w:rPr>
        <w:t>;</w:t>
      </w:r>
    </w:p>
    <w:bookmarkEnd w:id="99"/>
    <w:bookmarkStart w:name="z107" w:id="100"/>
    <w:p>
      <w:pPr>
        <w:spacing w:after="0"/>
        <w:ind w:left="0"/>
        <w:jc w:val="both"/>
      </w:pPr>
      <w:r>
        <w:rPr>
          <w:rFonts w:ascii="Times New Roman"/>
          <w:b w:val="false"/>
          <w:i w:val="false"/>
          <w:color w:val="000000"/>
          <w:sz w:val="28"/>
        </w:rPr>
        <w:t xml:space="preserve">
      10) данные о количестве гуртов, отар, табунов, сформированных по видам и половозрастным группам сельскохозяйственных животных представлены согласно </w:t>
      </w:r>
      <w:r>
        <w:rPr>
          <w:rFonts w:ascii="Times New Roman"/>
          <w:b w:val="false"/>
          <w:i w:val="false"/>
          <w:color w:val="000000"/>
          <w:sz w:val="28"/>
        </w:rPr>
        <w:t>приложению 10</w:t>
      </w:r>
      <w:r>
        <w:rPr>
          <w:rFonts w:ascii="Times New Roman"/>
          <w:b w:val="false"/>
          <w:i w:val="false"/>
          <w:color w:val="000000"/>
          <w:sz w:val="28"/>
        </w:rPr>
        <w:t>;</w:t>
      </w:r>
    </w:p>
    <w:bookmarkEnd w:id="100"/>
    <w:bookmarkStart w:name="z108" w:id="101"/>
    <w:p>
      <w:pPr>
        <w:spacing w:after="0"/>
        <w:ind w:left="0"/>
        <w:jc w:val="both"/>
      </w:pPr>
      <w:r>
        <w:rPr>
          <w:rFonts w:ascii="Times New Roman"/>
          <w:b w:val="false"/>
          <w:i w:val="false"/>
          <w:color w:val="000000"/>
          <w:sz w:val="28"/>
        </w:rPr>
        <w:t xml:space="preserve">
      11) схема пастбищеоборотов по городу Сарани и поселку Актас представлена согласно </w:t>
      </w:r>
      <w:r>
        <w:rPr>
          <w:rFonts w:ascii="Times New Roman"/>
          <w:b w:val="false"/>
          <w:i w:val="false"/>
          <w:color w:val="000000"/>
          <w:sz w:val="28"/>
        </w:rPr>
        <w:t>приложению 11</w:t>
      </w:r>
      <w:r>
        <w:rPr>
          <w:rFonts w:ascii="Times New Roman"/>
          <w:b w:val="false"/>
          <w:i w:val="false"/>
          <w:color w:val="000000"/>
          <w:sz w:val="28"/>
        </w:rPr>
        <w:t>.</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8"/>
        <w:gridCol w:w="5872"/>
      </w:tblGrid>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Шифр по республиканскому систематическому списку</w:t>
            </w:r>
          </w:p>
          <w:bookmarkEnd w:id="102"/>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237</w:t>
            </w:r>
          </w:p>
          <w:bookmarkEnd w:id="103"/>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среднемощные почвы</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238</w:t>
            </w:r>
          </w:p>
          <w:bookmarkEnd w:id="104"/>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маломощные почвы</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300</w:t>
            </w:r>
          </w:p>
          <w:bookmarkEnd w:id="105"/>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неполноразвитые почвы</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301</w:t>
            </w:r>
          </w:p>
          <w:bookmarkEnd w:id="106"/>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малоразвитые почвы</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448</w:t>
            </w:r>
          </w:p>
          <w:bookmarkEnd w:id="107"/>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 - каштановые среднемощные почвы</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563</w:t>
            </w:r>
          </w:p>
          <w:bookmarkEnd w:id="108"/>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каштановые почвы</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671</w:t>
            </w:r>
          </w:p>
          <w:bookmarkEnd w:id="109"/>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каштановые мелкие</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672</w:t>
            </w:r>
          </w:p>
          <w:bookmarkEnd w:id="110"/>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каштановые средние</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687</w:t>
            </w:r>
          </w:p>
          <w:bookmarkEnd w:id="111"/>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лугово - каштановые мелкие</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688</w:t>
            </w:r>
          </w:p>
          <w:bookmarkEnd w:id="112"/>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лугово - каштановые средние</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702</w:t>
            </w:r>
          </w:p>
          <w:bookmarkEnd w:id="113"/>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корковые</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703</w:t>
            </w:r>
          </w:p>
          <w:bookmarkEnd w:id="114"/>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мелкие</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704</w:t>
            </w:r>
          </w:p>
          <w:bookmarkEnd w:id="115"/>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средние</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705</w:t>
            </w:r>
          </w:p>
          <w:bookmarkEnd w:id="116"/>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глубокие</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723</w:t>
            </w:r>
          </w:p>
          <w:bookmarkEnd w:id="117"/>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типичные</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724</w:t>
            </w:r>
          </w:p>
          <w:bookmarkEnd w:id="118"/>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луговые</w:t>
            </w:r>
          </w:p>
        </w:tc>
      </w:tr>
    </w:tbl>
    <w:bookmarkStart w:name="z127" w:id="119"/>
    <w:p>
      <w:pPr>
        <w:spacing w:after="0"/>
        <w:ind w:left="0"/>
        <w:jc w:val="both"/>
      </w:pPr>
      <w:r>
        <w:rPr>
          <w:rFonts w:ascii="Times New Roman"/>
          <w:b w:val="false"/>
          <w:i w:val="false"/>
          <w:color w:val="000000"/>
          <w:sz w:val="28"/>
        </w:rPr>
        <w:t>
      Преобладающие типы пастбищ:</w:t>
      </w:r>
    </w:p>
    <w:bookmarkEnd w:id="119"/>
    <w:bookmarkStart w:name="z128" w:id="120"/>
    <w:p>
      <w:pPr>
        <w:spacing w:after="0"/>
        <w:ind w:left="0"/>
        <w:jc w:val="both"/>
      </w:pPr>
      <w:r>
        <w:rPr>
          <w:rFonts w:ascii="Times New Roman"/>
          <w:b w:val="false"/>
          <w:i w:val="false"/>
          <w:color w:val="000000"/>
          <w:sz w:val="28"/>
        </w:rPr>
        <w:t>
      ковыльно - типчаковые с кустарниками;</w:t>
      </w:r>
    </w:p>
    <w:bookmarkEnd w:id="120"/>
    <w:bookmarkStart w:name="z129" w:id="121"/>
    <w:p>
      <w:pPr>
        <w:spacing w:after="0"/>
        <w:ind w:left="0"/>
        <w:jc w:val="both"/>
      </w:pPr>
      <w:r>
        <w:rPr>
          <w:rFonts w:ascii="Times New Roman"/>
          <w:b w:val="false"/>
          <w:i w:val="false"/>
          <w:color w:val="000000"/>
          <w:sz w:val="28"/>
        </w:rPr>
        <w:t xml:space="preserve">
      типчаково - ковыльное с кустарниками; </w:t>
      </w:r>
    </w:p>
    <w:bookmarkEnd w:id="121"/>
    <w:bookmarkStart w:name="z130" w:id="122"/>
    <w:p>
      <w:pPr>
        <w:spacing w:after="0"/>
        <w:ind w:left="0"/>
        <w:jc w:val="both"/>
      </w:pPr>
      <w:r>
        <w:rPr>
          <w:rFonts w:ascii="Times New Roman"/>
          <w:b w:val="false"/>
          <w:i w:val="false"/>
          <w:color w:val="000000"/>
          <w:sz w:val="28"/>
        </w:rPr>
        <w:t>
      типчаково – ковыльно - холоднополынные с кустарниками;</w:t>
      </w:r>
    </w:p>
    <w:bookmarkEnd w:id="122"/>
    <w:bookmarkStart w:name="z131" w:id="123"/>
    <w:p>
      <w:pPr>
        <w:spacing w:after="0"/>
        <w:ind w:left="0"/>
        <w:jc w:val="both"/>
      </w:pPr>
      <w:r>
        <w:rPr>
          <w:rFonts w:ascii="Times New Roman"/>
          <w:b w:val="false"/>
          <w:i w:val="false"/>
          <w:color w:val="000000"/>
          <w:sz w:val="28"/>
        </w:rPr>
        <w:t xml:space="preserve">
      типчаково – холоднополынные; </w:t>
      </w:r>
    </w:p>
    <w:bookmarkEnd w:id="123"/>
    <w:bookmarkStart w:name="z132" w:id="124"/>
    <w:p>
      <w:pPr>
        <w:spacing w:after="0"/>
        <w:ind w:left="0"/>
        <w:jc w:val="both"/>
      </w:pPr>
      <w:r>
        <w:rPr>
          <w:rFonts w:ascii="Times New Roman"/>
          <w:b w:val="false"/>
          <w:i w:val="false"/>
          <w:color w:val="000000"/>
          <w:sz w:val="28"/>
        </w:rPr>
        <w:t>
      злаково - разнотравные с кустарниками;</w:t>
      </w:r>
    </w:p>
    <w:bookmarkEnd w:id="124"/>
    <w:bookmarkStart w:name="z133" w:id="125"/>
    <w:p>
      <w:pPr>
        <w:spacing w:after="0"/>
        <w:ind w:left="0"/>
        <w:jc w:val="both"/>
      </w:pPr>
      <w:r>
        <w:rPr>
          <w:rFonts w:ascii="Times New Roman"/>
          <w:b w:val="false"/>
          <w:i w:val="false"/>
          <w:color w:val="000000"/>
          <w:sz w:val="28"/>
        </w:rPr>
        <w:t>
      чиево – вострецовые;</w:t>
      </w:r>
    </w:p>
    <w:bookmarkEnd w:id="125"/>
    <w:bookmarkStart w:name="z134" w:id="126"/>
    <w:p>
      <w:pPr>
        <w:spacing w:after="0"/>
        <w:ind w:left="0"/>
        <w:jc w:val="both"/>
      </w:pPr>
      <w:r>
        <w:rPr>
          <w:rFonts w:ascii="Times New Roman"/>
          <w:b w:val="false"/>
          <w:i w:val="false"/>
          <w:color w:val="000000"/>
          <w:sz w:val="28"/>
        </w:rPr>
        <w:t>
      вострецовые с караганой;</w:t>
      </w:r>
    </w:p>
    <w:bookmarkEnd w:id="126"/>
    <w:bookmarkStart w:name="z135" w:id="127"/>
    <w:p>
      <w:pPr>
        <w:spacing w:after="0"/>
        <w:ind w:left="0"/>
        <w:jc w:val="both"/>
      </w:pPr>
      <w:r>
        <w:rPr>
          <w:rFonts w:ascii="Times New Roman"/>
          <w:b w:val="false"/>
          <w:i w:val="false"/>
          <w:color w:val="000000"/>
          <w:sz w:val="28"/>
        </w:rPr>
        <w:t>
      караганово - типчаковые.</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5712"/>
        <w:gridCol w:w="4987"/>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 п/п</w:t>
            </w:r>
          </w:p>
          <w:bookmarkEnd w:id="128"/>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земель</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xml:space="preserve">
1 </w:t>
            </w:r>
          </w:p>
          <w:bookmarkEnd w:id="129"/>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назначения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xml:space="preserve">
2 </w:t>
            </w:r>
          </w:p>
          <w:bookmarkEnd w:id="130"/>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населенных пунктов (городов, поселков и сельских населенных пунктов)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3</w:t>
            </w:r>
          </w:p>
          <w:bookmarkEnd w:id="131"/>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лесного фонда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xml:space="preserve">
4 </w:t>
            </w:r>
          </w:p>
          <w:bookmarkEnd w:id="132"/>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водного фонда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xml:space="preserve">
5 </w:t>
            </w:r>
          </w:p>
          <w:bookmarkEnd w:id="133"/>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запаса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2018-2019 годы</w:t>
            </w:r>
            <w:r>
              <w:br/>
            </w:r>
          </w:p>
        </w:tc>
      </w:tr>
    </w:tbl>
    <w:bookmarkStart w:name="z145" w:id="134"/>
    <w:p>
      <w:pPr>
        <w:spacing w:after="0"/>
        <w:ind w:left="0"/>
        <w:jc w:val="left"/>
      </w:pPr>
      <w:r>
        <w:rPr>
          <w:rFonts w:ascii="Times New Roman"/>
          <w:b/>
          <w:i w:val="false"/>
          <w:color w:val="000000"/>
        </w:rPr>
        <w:t xml:space="preserve">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bookmarkEnd w:id="134"/>
    <w:bookmarkStart w:name="z146"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2018-2019 годы</w:t>
            </w:r>
            <w:r>
              <w:br/>
            </w:r>
          </w:p>
        </w:tc>
      </w:tr>
    </w:tbl>
    <w:bookmarkStart w:name="z148" w:id="136"/>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w:t>
      </w:r>
    </w:p>
    <w:bookmarkEnd w:id="136"/>
    <w:bookmarkStart w:name="z149"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2018-2019 годы</w:t>
            </w:r>
            <w:r>
              <w:br/>
            </w:r>
          </w:p>
        </w:tc>
      </w:tr>
    </w:tbl>
    <w:bookmarkStart w:name="z151" w:id="138"/>
    <w:p>
      <w:pPr>
        <w:spacing w:after="0"/>
        <w:ind w:left="0"/>
        <w:jc w:val="left"/>
      </w:pPr>
      <w:r>
        <w:rPr>
          <w:rFonts w:ascii="Times New Roman"/>
          <w:b/>
          <w:i w:val="false"/>
          <w:color w:val="000000"/>
        </w:rPr>
        <w:t xml:space="preserve"> Схема доступа пастбищепользователей к водным источникам</w:t>
      </w:r>
    </w:p>
    <w:bookmarkEnd w:id="138"/>
    <w:bookmarkStart w:name="z152"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2018-2019 годы</w:t>
            </w:r>
            <w:r>
              <w:br/>
            </w:r>
          </w:p>
        </w:tc>
      </w:tr>
    </w:tbl>
    <w:bookmarkStart w:name="z154" w:id="140"/>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40"/>
    <w:bookmarkStart w:name="z155"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1593"/>
        <w:gridCol w:w="4250"/>
        <w:gridCol w:w="4250"/>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w:t>
            </w:r>
          </w:p>
          <w:bookmarkEnd w:id="142"/>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сезона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сезона</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1</w:t>
            </w:r>
          </w:p>
          <w:bookmarkEnd w:id="143"/>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2</w:t>
            </w:r>
          </w:p>
          <w:bookmarkEnd w:id="144"/>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Актас</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9"/>
        <w:gridCol w:w="1480"/>
        <w:gridCol w:w="2050"/>
        <w:gridCol w:w="2050"/>
        <w:gridCol w:w="2050"/>
        <w:gridCol w:w="2051"/>
      </w:tblGrid>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w:t>
            </w:r>
          </w:p>
          <w:bookmarkEnd w:id="145"/>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1.</w:t>
            </w:r>
          </w:p>
          <w:bookmarkEnd w:id="146"/>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2.</w:t>
            </w:r>
          </w:p>
          <w:bookmarkEnd w:id="147"/>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Актас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942"/>
        <w:gridCol w:w="3470"/>
        <w:gridCol w:w="2750"/>
        <w:gridCol w:w="3471"/>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w:t>
            </w:r>
          </w:p>
          <w:bookmarkEnd w:id="148"/>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1.</w:t>
            </w:r>
          </w:p>
          <w:bookmarkEnd w:id="149"/>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2.</w:t>
            </w:r>
          </w:p>
          <w:bookmarkEnd w:id="150"/>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Актас</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0115"/>
        <w:gridCol w:w="546"/>
        <w:gridCol w:w="546"/>
        <w:gridCol w:w="547"/>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w:t>
            </w:r>
          </w:p>
          <w:bookmarkEnd w:id="151"/>
        </w:tc>
        <w:tc>
          <w:tcPr>
            <w:tcW w:w="10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2"/>
          <w:p>
            <w:pPr>
              <w:spacing w:after="20"/>
              <w:ind w:left="20"/>
              <w:jc w:val="both"/>
            </w:pPr>
            <w:r>
              <w:rPr>
                <w:rFonts w:ascii="Times New Roman"/>
                <w:b w:val="false"/>
                <w:i w:val="false"/>
                <w:color w:val="000000"/>
                <w:sz w:val="20"/>
              </w:rPr>
              <w:t>
1</w:t>
            </w:r>
          </w:p>
          <w:bookmarkEnd w:id="152"/>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Актас </w:t>
            </w:r>
            <w:r>
              <w:br/>
            </w:r>
            <w:r>
              <w:rPr>
                <w:rFonts w:ascii="Times New Roman"/>
                <w:b w:val="false"/>
                <w:i w:val="false"/>
                <w:color w:val="000000"/>
                <w:sz w:val="20"/>
              </w:rPr>
              <w:t>
улицы Привольная, Гражданская, 8 марта, Транспортная, Лихачева</w:t>
            </w:r>
            <w:r>
              <w:br/>
            </w:r>
            <w:r>
              <w:rPr>
                <w:rFonts w:ascii="Times New Roman"/>
                <w:b w:val="false"/>
                <w:i w:val="false"/>
                <w:color w:val="000000"/>
                <w:sz w:val="20"/>
              </w:rPr>
              <w:t>
переулки Саратовский,1 Гражданский, 2 Гражданский, Чайковского, Батумский, Шевцовой</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3"/>
          <w:p>
            <w:pPr>
              <w:spacing w:after="20"/>
              <w:ind w:left="20"/>
              <w:jc w:val="both"/>
            </w:pPr>
            <w:r>
              <w:rPr>
                <w:rFonts w:ascii="Times New Roman"/>
                <w:b w:val="false"/>
                <w:i w:val="false"/>
                <w:color w:val="000000"/>
                <w:sz w:val="20"/>
              </w:rPr>
              <w:t>
2</w:t>
            </w:r>
          </w:p>
          <w:bookmarkEnd w:id="153"/>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Химик</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4"/>
          <w:p>
            <w:pPr>
              <w:spacing w:after="20"/>
              <w:ind w:left="20"/>
              <w:jc w:val="both"/>
            </w:pPr>
            <w:r>
              <w:rPr>
                <w:rFonts w:ascii="Times New Roman"/>
                <w:b w:val="false"/>
                <w:i w:val="false"/>
                <w:color w:val="000000"/>
                <w:sz w:val="20"/>
              </w:rPr>
              <w:t>
3</w:t>
            </w:r>
          </w:p>
          <w:bookmarkEnd w:id="154"/>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Геологическая, Морозова, Разведчиков, Арычная, Щоссейная, Алматинская, Сакена, Проходческая, Магистральная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4</w:t>
            </w:r>
          </w:p>
          <w:bookmarkEnd w:id="155"/>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Солнечная, Юности, Матросова, Угольщиков, Дружбы, Кольцевая, Фестивальная, Крайняя, Буденного, Котовского, Маресьева, Расковой, Химиков, Амурская, Щорса, Пролетарская, Пархоменко, Рокосовского, Чудесная, Ньютона, Менделеева, Довженко, Пограничная, Студенческая, Энгельса, Киевская, Осипенко, Рабочая, Арычная, Островского, Маяковского, Новая, Станционная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6"/>
          <w:p>
            <w:pPr>
              <w:spacing w:after="20"/>
              <w:ind w:left="20"/>
              <w:jc w:val="both"/>
            </w:pPr>
            <w:r>
              <w:rPr>
                <w:rFonts w:ascii="Times New Roman"/>
                <w:b w:val="false"/>
                <w:i w:val="false"/>
                <w:color w:val="000000"/>
                <w:sz w:val="20"/>
              </w:rPr>
              <w:t>
5</w:t>
            </w:r>
          </w:p>
          <w:bookmarkEnd w:id="156"/>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Асфальтная, Красина, Павлова, Юбилейная, Клубная, Горноспасательная, Ушакова, Фурманова, Дубовская; </w:t>
            </w:r>
            <w:r>
              <w:br/>
            </w:r>
            <w:r>
              <w:rPr>
                <w:rFonts w:ascii="Times New Roman"/>
                <w:b w:val="false"/>
                <w:i w:val="false"/>
                <w:color w:val="000000"/>
                <w:sz w:val="20"/>
              </w:rPr>
              <w:t>
переулок Асфальтный</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7"/>
          <w:p>
            <w:pPr>
              <w:spacing w:after="20"/>
              <w:ind w:left="20"/>
              <w:jc w:val="both"/>
            </w:pPr>
            <w:r>
              <w:rPr>
                <w:rFonts w:ascii="Times New Roman"/>
                <w:b w:val="false"/>
                <w:i w:val="false"/>
                <w:color w:val="000000"/>
                <w:sz w:val="20"/>
              </w:rPr>
              <w:t>
6</w:t>
            </w:r>
          </w:p>
          <w:bookmarkEnd w:id="157"/>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Набережная, Луговая, Степная, Гоголя, Южная, Зеленая, Труда, Макаренко, Свердлова, Кутузова, Кошевого;</w:t>
            </w:r>
            <w:r>
              <w:br/>
            </w:r>
            <w:r>
              <w:rPr>
                <w:rFonts w:ascii="Times New Roman"/>
                <w:b w:val="false"/>
                <w:i w:val="false"/>
                <w:color w:val="000000"/>
                <w:sz w:val="20"/>
              </w:rPr>
              <w:t>
переулки Первый, Крайний, Садовый, Западный, Труда, Центральный;</w:t>
            </w:r>
            <w:r>
              <w:br/>
            </w:r>
            <w:r>
              <w:rPr>
                <w:rFonts w:ascii="Times New Roman"/>
                <w:b w:val="false"/>
                <w:i w:val="false"/>
                <w:color w:val="000000"/>
                <w:sz w:val="20"/>
              </w:rPr>
              <w:t>
микрорайон Горняк</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8"/>
          <w:p>
            <w:pPr>
              <w:spacing w:after="20"/>
              <w:ind w:left="20"/>
              <w:jc w:val="both"/>
            </w:pPr>
            <w:r>
              <w:rPr>
                <w:rFonts w:ascii="Times New Roman"/>
                <w:b w:val="false"/>
                <w:i w:val="false"/>
                <w:color w:val="000000"/>
                <w:sz w:val="20"/>
              </w:rPr>
              <w:t>
7</w:t>
            </w:r>
          </w:p>
          <w:bookmarkEnd w:id="158"/>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Высоковольтная, Лермонтова, Пушкина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8</w:t>
            </w:r>
          </w:p>
          <w:bookmarkEnd w:id="159"/>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Некрасова, Панфилова, Проточная, Индустриальная, Цимлянская, Спортивная, Нуркена, Ибаррури, Крылова, Шевченко, Красноармейская, Ватутина, Казахстанская, Чапаева, Шмидта, Кузнецкая, Цеткин, Вахтерская, Цветная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9</w:t>
            </w:r>
          </w:p>
          <w:bookmarkEnd w:id="160"/>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Заречная, Стадионная, Московская, Комсомольская, Пирогова, Калинина, Мира, Жакенова, Огородная, Капитальная, Коминтерна, Челюскина, Тимирязева, Водоканальная, Черняховского, Трудовая, Кирова, Строительная, Тургенева, Коммунальная, МолодҰжная, Строительная, Октябрьская, Жуковского, Шахтерская, Тургенева;</w:t>
            </w:r>
            <w:r>
              <w:br/>
            </w:r>
            <w:r>
              <w:rPr>
                <w:rFonts w:ascii="Times New Roman"/>
                <w:b w:val="false"/>
                <w:i w:val="false"/>
                <w:color w:val="000000"/>
                <w:sz w:val="20"/>
              </w:rPr>
              <w:t>
переулки Средний, Межквартальный, Строительный, Безымянный</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городу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2018-2019 годы</w:t>
            </w:r>
            <w:r>
              <w:br/>
            </w:r>
          </w:p>
        </w:tc>
      </w:tr>
    </w:tbl>
    <w:bookmarkStart w:name="z183" w:id="161"/>
    <w:p>
      <w:pPr>
        <w:spacing w:after="0"/>
        <w:ind w:left="0"/>
        <w:jc w:val="left"/>
      </w:pPr>
      <w:r>
        <w:rPr>
          <w:rFonts w:ascii="Times New Roman"/>
          <w:b/>
          <w:i w:val="false"/>
          <w:color w:val="000000"/>
        </w:rPr>
        <w:t xml:space="preserve"> Схема пастбищеоборотов по городу Сарани и поселку Актас</w:t>
      </w:r>
    </w:p>
    <w:bookmarkEnd w:id="161"/>
    <w:bookmarkStart w:name="z184"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