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aa3" w14:textId="28b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25 августа 2017 года № 37/01. Зарегистрировано Департаментом юстиции Карагандинской области 13 сентября 2017 года № 4351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в целях определения мест для выездной торговли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выездной торговли на территории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25 мая 2016 года № 21/10 "Об определении мест для осуществления выездной торговли в городе Караганде" (зарегистрировано в Реестре государственной регистрации нормативных правовых актов № 3847, опубликовано в газетах "Индустриальная Караганда" от 14 июня 2016 года № 74 (22 019), "Орталық Қазақстан" от 14 июня 2016 года № 94 (22 199), в информационно-правовой системе "Әділет" от 17 июня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Караганды.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выездной торговли на территории города Караганды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района имени Казыбек би города Караганды: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проспект Бухар Жырау (на углу дома № 74);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проспект Нуркена Абдирова (перед домом № 26);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проспект Строителей, 6 (вдоль дороги на аллее);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Гоголя (напротив дома № 57);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Ержанова (с торца дома № 30);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микрорайон "Степной – 3" (перед домом № 8);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проспект Бухар Жырау (перед домом № 11);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 Федоровского водохранилища (у остановки дачного общества "Машиностроитель");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Прогресса (с торца дома № 29).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Октябрьского района города Караганды: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Голубые пруды (перед домом № 17);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18 микрорайон (на углу дома № 12);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17 микрорайон (на углу дома № 41);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микрорайон (у дома № 25);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23 микрорайон (перед домом № 11);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22 микрорайон (с торца здания № 19/3);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Мануильского (перед домом № 19);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 остановки дачного общества "Оптимист-2".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