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20fc" w14:textId="d812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Карагандинского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Карагандинского областного маслихата от 30 марта 2017 года № 169. Зарегистрировано Департаментом юстиции Карагандинской области 10 апреля 2017 года № 4209. Утратило силу решением Карагандинского областного маслихата от 29 марта 2018 года № 298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29.03.2018 № 298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Карагандинского областного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XLII cессии Карагандинского областного маслихата от 19 февраля 2016 года № 485 "Об утверждении Методики оценки деятельности административных государственных служащих корпуса "Б" аппарата Карагандинского областного маслихата" (зарегистрировано в Реестре государственной регистрации нормативных правовых актов № 3709, опубликовано в информационно-правовой системе "Әділет" 25 марта 2016 года, в газетах "Индустриальная Караганда" от 22 марта 2016 года № 35-36 (21980-21981) и "Орталық Қазақстан" от 22 марта 2016 года № 53-54 (22159)) признать утратившим силу.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VIІI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марта 2017 года № 169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Карагандинского областного маслихата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аппарата Карагандинского областного маслихата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Карагандинского областного маслихата".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 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течении 5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отдела аппарата областного маслихата. Секретарь Комиссии по оценке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руководителю отдела аппарата областного маслихата. Второй экземпляр находится у руководителя аппарата служащего корпуса "Б".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отдела аппарата областного маслихата формирует график проведения оценки по согласованию с председателем Комиссии по оценке.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аппарата областного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руководителем отдела аппарата областного маслихата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руководителем отдела аппарата областного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=100+а-в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Оценка выполнения индивидуального плана работы выставляется по следующей шкале: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выполнение целевого показателя (достижение ожидаемого результата) – 4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руководителем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Итоговая годовая оценка служащего корпуса "Б" вычисляется руководителем отдела аппарата областного маслихата не позднее пяти рабочих дней до заседания Комиссии по оценке по следующей формуле: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=0,4*∑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+0,6*∑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 – годовая оценка;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 пункте 27 настоящей Методики, приводится к пятибалльной системе оценок, а именно: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(среднеарифмети-ческое значение).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Руководитель отдела аппарата областного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аппарата областного маслихата предоставляет на заседание Комиссии следующие документы: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 оценочные листы;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аппарата областного маслихата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 послужной список. В этом случае руководителем отдела аппарата областного маслихата в произвольной форме составляется акт об отказе от ознакомления.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областного маслихата.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оценки, рекомендует государственному органу отменить решение Комиссии.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административного государственного служащего корпуса "Б"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5"/>
        <w:gridCol w:w="6585"/>
      </w:tblGrid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19"/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</w:tbl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511"/>
        <w:gridCol w:w="1313"/>
        <w:gridCol w:w="1314"/>
        <w:gridCol w:w="756"/>
        <w:gridCol w:w="1363"/>
        <w:gridCol w:w="2365"/>
        <w:gridCol w:w="2366"/>
        <w:gridCol w:w="574"/>
      </w:tblGrid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</w:tbl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33"/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 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777"/>
        <w:gridCol w:w="2316"/>
        <w:gridCol w:w="482"/>
        <w:gridCol w:w="1734"/>
        <w:gridCol w:w="3455"/>
        <w:gridCol w:w="1536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</w:tbl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8"/>
    <w:bookmarkStart w:name="z16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53"/>
    <w:bookmarkStart w:name="z17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 Дата: _____________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 инициалы</w:t>
      </w:r>
      <w:r>
        <w:rPr>
          <w:rFonts w:ascii="Times New Roman"/>
          <w:b w:val="false"/>
          <w:i/>
          <w:color w:val="000000"/>
          <w:sz w:val="28"/>
        </w:rPr>
        <w:t>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____________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 инициалы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_____________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 инициалы</w:t>
      </w:r>
      <w:r>
        <w:rPr>
          <w:rFonts w:ascii="Times New Roman"/>
          <w:b w:val="false"/>
          <w:i/>
          <w:color w:val="000000"/>
          <w:sz w:val="28"/>
        </w:rPr>
        <w:t>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