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3b0a" w14:textId="f9f3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району Т. Рыскулова на 2017-2018 годы</w:t>
      </w:r>
    </w:p>
    <w:p>
      <w:pPr>
        <w:spacing w:after="0"/>
        <w:ind w:left="0"/>
        <w:jc w:val="both"/>
      </w:pPr>
      <w:r>
        <w:rPr>
          <w:rFonts w:ascii="Times New Roman"/>
          <w:b w:val="false"/>
          <w:i w:val="false"/>
          <w:color w:val="000000"/>
          <w:sz w:val="28"/>
        </w:rPr>
        <w:t>Решение маслихата района Т.Рыскулова Жамбылской области от 14 декабря 2017 года № 21-7. Зарегистрировано Департаментом юстиции Жамбылской области 25 декабря 2017 года № 3646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7"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маслихат района Т. Рыскулова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району Т. Рыскулова на 2017-2018 годы.</w:t>
      </w:r>
    </w:p>
    <w:bookmarkEnd w:id="1"/>
    <w:bookmarkStart w:name="z9" w:id="2"/>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районного маслихата по вопросам развития регионов, сфер промышленности, строительства, энергетики, транспорта, связи, сельского хозяйства и предпринимательства.</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 района Т. Рыскулова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секретаря маслихата района Т. Рыскулова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w:t>
            </w:r>
            <w:r>
              <w:br/>
            </w:r>
            <w:r>
              <w:rPr>
                <w:rFonts w:ascii="Times New Roman"/>
                <w:b w:val="false"/>
                <w:i w:val="false"/>
                <w:color w:val="000000"/>
                <w:sz w:val="20"/>
              </w:rPr>
              <w:t>Т. Рыскуловского района № 21-7</w:t>
            </w:r>
            <w:r>
              <w:br/>
            </w:r>
            <w:r>
              <w:rPr>
                <w:rFonts w:ascii="Times New Roman"/>
                <w:b w:val="false"/>
                <w:i w:val="false"/>
                <w:color w:val="000000"/>
                <w:sz w:val="20"/>
              </w:rPr>
              <w:t>от 14 декабря 2017 года</w:t>
            </w:r>
          </w:p>
        </w:tc>
      </w:tr>
    </w:tbl>
    <w:bookmarkStart w:name="z14" w:id="4"/>
    <w:p>
      <w:pPr>
        <w:spacing w:after="0"/>
        <w:ind w:left="0"/>
        <w:jc w:val="left"/>
      </w:pPr>
      <w:r>
        <w:rPr>
          <w:rFonts w:ascii="Times New Roman"/>
          <w:b/>
          <w:i w:val="false"/>
          <w:color w:val="000000"/>
        </w:rPr>
        <w:t xml:space="preserve"> План по управлению пастбищами и их использованию по району Т. Рыскулова на 2017-2018 годы</w:t>
      </w:r>
    </w:p>
    <w:bookmarkEnd w:id="4"/>
    <w:bookmarkStart w:name="z15" w:id="5"/>
    <w:p>
      <w:pPr>
        <w:spacing w:after="0"/>
        <w:ind w:left="0"/>
        <w:jc w:val="left"/>
      </w:pPr>
      <w:r>
        <w:rPr>
          <w:rFonts w:ascii="Times New Roman"/>
          <w:b/>
          <w:i w:val="false"/>
          <w:color w:val="000000"/>
        </w:rPr>
        <w:t xml:space="preserve"> Введение</w:t>
      </w:r>
    </w:p>
    <w:bookmarkEnd w:id="5"/>
    <w:bookmarkStart w:name="z16" w:id="6"/>
    <w:p>
      <w:pPr>
        <w:spacing w:after="0"/>
        <w:ind w:left="0"/>
        <w:jc w:val="both"/>
      </w:pPr>
      <w:r>
        <w:rPr>
          <w:rFonts w:ascii="Times New Roman"/>
          <w:b w:val="false"/>
          <w:i w:val="false"/>
          <w:color w:val="000000"/>
          <w:sz w:val="28"/>
        </w:rPr>
        <w:t>
      В экономике Т. Рыскуловского района сельскохозяйственный сектор занимает ведущее место. Если развитие скотоводства занимает ведущее место для полного обеспечения продовольствием нашей Родины, то его основа-рационально и выгодно использование природной пастбищи. Неотложенной мероприятии требует по улучшению пастбищ не допуская его изношенности, рациональное использование природной пастбищи землепользователями и собственниками. Т. Рыскуловский район расположен на юго-восточной части территории Жамбылской области, и граничит районами Байзак, Мойынкум, Мерке и Кыргызской Республикой. Площадь района Т. Рыскулова составляет 9,08 тысячи квадратных киллометров либо 14,5% от площади Жамбылской области.</w:t>
      </w:r>
    </w:p>
    <w:bookmarkEnd w:id="6"/>
    <w:bookmarkStart w:name="z17" w:id="7"/>
    <w:p>
      <w:pPr>
        <w:spacing w:after="0"/>
        <w:ind w:left="0"/>
        <w:jc w:val="both"/>
      </w:pPr>
      <w:r>
        <w:rPr>
          <w:rFonts w:ascii="Times New Roman"/>
          <w:b w:val="false"/>
          <w:i w:val="false"/>
          <w:color w:val="000000"/>
          <w:sz w:val="28"/>
        </w:rPr>
        <w:t>
      Не смотря на то, что его основная часть составляет равниннную землю, природа района Т. Рыскулова обособлена своим разнообразием. Южная часть района является горной. Там расположены горы Ойранды, Каракыстак, Сулутор, Шонгер, Кокдонен, Когершин, Мынбел.</w:t>
      </w:r>
    </w:p>
    <w:bookmarkEnd w:id="7"/>
    <w:bookmarkStart w:name="z18" w:id="8"/>
    <w:p>
      <w:pPr>
        <w:spacing w:after="0"/>
        <w:ind w:left="0"/>
        <w:jc w:val="both"/>
      </w:pPr>
      <w:r>
        <w:rPr>
          <w:rFonts w:ascii="Times New Roman"/>
          <w:b w:val="false"/>
          <w:i w:val="false"/>
          <w:color w:val="000000"/>
          <w:sz w:val="28"/>
        </w:rPr>
        <w:t>
      Центральную и северную часть района составляет равнина. На севере граничит песками Мойынкум. Подводные воды строительные материалы были исследованы на недрах. Климат района континентальный, зима несколько мягкий, лето жаркий. Средняя температура воздуха января месяца составляет -6-8 С, соответсвенно июль +20 С- +25 С. Годовая площадь дождя в равнинных землях составляет до 200-250 миллиметров, в горных местностях и в горах до 450-500 миллиметров. Почва темноватый и голо-серого цвета, порпурный, темно-коричневый и черноземная почва.</w:t>
      </w:r>
    </w:p>
    <w:bookmarkEnd w:id="8"/>
    <w:bookmarkStart w:name="z19" w:id="9"/>
    <w:p>
      <w:pPr>
        <w:spacing w:after="0"/>
        <w:ind w:left="0"/>
        <w:jc w:val="both"/>
      </w:pPr>
      <w:r>
        <w:rPr>
          <w:rFonts w:ascii="Times New Roman"/>
          <w:b w:val="false"/>
          <w:i w:val="false"/>
          <w:color w:val="000000"/>
          <w:sz w:val="28"/>
        </w:rPr>
        <w:t>
      По району на 1 января 2017 года численность крупного рогатого скота составляет 28844 голов, овцы-козы 394045 голов, лошади 14398 голов, и имеются предназначенный для них 21 мест для купания, 15 пунктов для осеменения, 3 пунктов захоранения (биотермические ямы). По району Т. Рыскулова 15 сельских округов и 43 населенных пунктов.</w:t>
      </w:r>
    </w:p>
    <w:bookmarkEnd w:id="9"/>
    <w:bookmarkStart w:name="z20" w:id="10"/>
    <w:p>
      <w:pPr>
        <w:spacing w:after="0"/>
        <w:ind w:left="0"/>
        <w:jc w:val="both"/>
      </w:pPr>
      <w:r>
        <w:rPr>
          <w:rFonts w:ascii="Times New Roman"/>
          <w:b w:val="false"/>
          <w:i w:val="false"/>
          <w:color w:val="000000"/>
          <w:sz w:val="28"/>
        </w:rPr>
        <w:t>
      Цель плана: управление пастбищами и их использования.</w:t>
      </w:r>
    </w:p>
    <w:bookmarkEnd w:id="10"/>
    <w:bookmarkStart w:name="z21" w:id="11"/>
    <w:p>
      <w:pPr>
        <w:spacing w:after="0"/>
        <w:ind w:left="0"/>
        <w:jc w:val="both"/>
      </w:pPr>
      <w:r>
        <w:rPr>
          <w:rFonts w:ascii="Times New Roman"/>
          <w:b w:val="false"/>
          <w:i w:val="false"/>
          <w:color w:val="000000"/>
          <w:sz w:val="28"/>
        </w:rPr>
        <w:t>
      Срок реализации плана: начиная с декабря 2017 года до конца 2018 года.</w:t>
      </w:r>
    </w:p>
    <w:bookmarkEnd w:id="11"/>
    <w:bookmarkStart w:name="z22" w:id="12"/>
    <w:p>
      <w:pPr>
        <w:spacing w:after="0"/>
        <w:ind w:left="0"/>
        <w:jc w:val="left"/>
      </w:pPr>
      <w:r>
        <w:rPr>
          <w:rFonts w:ascii="Times New Roman"/>
          <w:b/>
          <w:i w:val="false"/>
          <w:color w:val="000000"/>
        </w:rPr>
        <w:t xml:space="preserve"> Схема (карта) расположения пастбищ на территории Т. Рыскуловского района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12"/>
    <w:bookmarkStart w:name="z23"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4"/>
    <w:p>
      <w:pPr>
        <w:spacing w:after="0"/>
        <w:ind w:left="0"/>
        <w:jc w:val="left"/>
      </w:pPr>
      <w:r>
        <w:rPr>
          <w:rFonts w:ascii="Times New Roman"/>
          <w:b/>
          <w:i w:val="false"/>
          <w:color w:val="000000"/>
        </w:rPr>
        <w:t xml:space="preserve"> Приемлемые схемы пастбищеоборотов</w:t>
      </w:r>
    </w:p>
    <w:bookmarkEnd w:id="14"/>
    <w:bookmarkStart w:name="z25"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6"/>
    <w:bookmarkStart w:name="z27"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8"/>
    <w:bookmarkStart w:name="z29"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0"/>
    <w:bookmarkStart w:name="z31"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2"/>
    <w:bookmarkStart w:name="z3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по району Т. Рыскулова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046"/>
        <w:gridCol w:w="4630"/>
        <w:gridCol w:w="4535"/>
        <w:gridCol w:w="465"/>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П/н</w:t>
            </w:r>
          </w:p>
          <w:bookmarkEnd w:id="2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селького округа</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(шөл-далалық, таулы-далалық аймақа) малдарды айдап шығарылу мерзімі</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возврата животных от отдаленных пастбищ (пустынно-степной, горно степной территории)</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w:t>
            </w:r>
          </w:p>
          <w:bookmarkEnd w:id="2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Когершин</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2</w:t>
            </w:r>
          </w:p>
          <w:bookmarkEnd w:id="2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Корагаты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3</w:t>
            </w:r>
          </w:p>
          <w:bookmarkEnd w:id="2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4</w:t>
            </w:r>
          </w:p>
          <w:bookmarkEnd w:id="2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5</w:t>
            </w:r>
          </w:p>
          <w:bookmarkEnd w:id="3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6</w:t>
            </w:r>
          </w:p>
          <w:bookmarkEnd w:id="3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Теренозек</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7</w:t>
            </w:r>
          </w:p>
          <w:bookmarkEnd w:id="3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8</w:t>
            </w:r>
          </w:p>
          <w:bookmarkEnd w:id="3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Акыртобе</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9</w:t>
            </w:r>
          </w:p>
          <w:bookmarkEnd w:id="3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10</w:t>
            </w:r>
          </w:p>
          <w:bookmarkEnd w:id="3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11</w:t>
            </w:r>
          </w:p>
          <w:bookmarkEnd w:id="3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Каракыстак</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12</w:t>
            </w:r>
          </w:p>
          <w:bookmarkEnd w:id="3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13</w:t>
            </w:r>
          </w:p>
          <w:bookmarkEnd w:id="3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14</w:t>
            </w:r>
          </w:p>
          <w:bookmarkEnd w:id="3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Кумарык</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15</w:t>
            </w:r>
          </w:p>
          <w:bookmarkEnd w:id="4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Кокдонен</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1"/>
    <w:p>
      <w:pPr>
        <w:spacing w:after="0"/>
        <w:ind w:left="0"/>
        <w:jc w:val="left"/>
      </w:pPr>
      <w:r>
        <w:rPr>
          <w:rFonts w:ascii="Times New Roman"/>
          <w:b/>
          <w:i w:val="false"/>
          <w:color w:val="000000"/>
        </w:rPr>
        <w:t xml:space="preserve"> І. Сведений о состоянии геоботанического обследования пастбищ по району Т. Рыскулова</w:t>
      </w:r>
    </w:p>
    <w:bookmarkEnd w:id="41"/>
    <w:bookmarkStart w:name="z52" w:id="42"/>
    <w:p>
      <w:pPr>
        <w:spacing w:after="0"/>
        <w:ind w:left="0"/>
        <w:jc w:val="left"/>
      </w:pPr>
      <w:r>
        <w:rPr>
          <w:rFonts w:ascii="Times New Roman"/>
          <w:b/>
          <w:i w:val="false"/>
          <w:color w:val="000000"/>
        </w:rPr>
        <w:t xml:space="preserve"> 1. Общая информация</w:t>
      </w:r>
    </w:p>
    <w:bookmarkEnd w:id="42"/>
    <w:bookmarkStart w:name="z53" w:id="43"/>
    <w:p>
      <w:pPr>
        <w:spacing w:after="0"/>
        <w:ind w:left="0"/>
        <w:jc w:val="both"/>
      </w:pPr>
      <w:r>
        <w:rPr>
          <w:rFonts w:ascii="Times New Roman"/>
          <w:b w:val="false"/>
          <w:i w:val="false"/>
          <w:color w:val="000000"/>
          <w:sz w:val="28"/>
        </w:rPr>
        <w:t>
      Южная часть района является горной. Там расположены горы Ойранды, Каракыстак, Сулутор, Шонгер, Кокдонен, Когершин, МынбельЦентральную и северную часть района составляет равнина.На севере граничит песками Мойынкум.</w:t>
      </w:r>
    </w:p>
    <w:bookmarkEnd w:id="43"/>
    <w:bookmarkStart w:name="z54" w:id="44"/>
    <w:p>
      <w:pPr>
        <w:spacing w:after="0"/>
        <w:ind w:left="0"/>
        <w:jc w:val="both"/>
      </w:pPr>
      <w:r>
        <w:rPr>
          <w:rFonts w:ascii="Times New Roman"/>
          <w:b w:val="false"/>
          <w:i w:val="false"/>
          <w:color w:val="000000"/>
          <w:sz w:val="28"/>
        </w:rPr>
        <w:t>
      Климат района континентальный, зима несколько мягкий, лето жаркий. Средняя температура воздуха января месяца составляет -6-8 С, соответсвенно июль +20 С- +25 С. Годовая площадь дождя в равнинных землях составляет до 200-250 миллиметров, в горнях местностях и в горях до 450-500 миллиметров. Почва темноватый и голо-серого цвета, порпурный, темно-коричневый и черноземная почва</w:t>
      </w:r>
    </w:p>
    <w:bookmarkEnd w:id="44"/>
    <w:bookmarkStart w:name="z55" w:id="45"/>
    <w:p>
      <w:pPr>
        <w:spacing w:after="0"/>
        <w:ind w:left="0"/>
        <w:jc w:val="both"/>
      </w:pPr>
      <w:r>
        <w:rPr>
          <w:rFonts w:ascii="Times New Roman"/>
          <w:b w:val="false"/>
          <w:i w:val="false"/>
          <w:color w:val="000000"/>
          <w:sz w:val="28"/>
        </w:rPr>
        <w:t>
      Основной сельскохозяйственной деятельностью района является земледелье и животноводство. В разновидность которого входит скотоводство, производство мясных и молочных продукций, выращивание зерновых культур. Выращиваются такие разновидности как: пшеница, ячмень, кукуруза, арбуз и так далее в том числе для кормления скота выращиваются многолетние травы. В связи с интенсивным развитием скотоводства в районе возрастает объем использование пастбищных угодий.</w:t>
      </w:r>
    </w:p>
    <w:bookmarkEnd w:id="45"/>
    <w:bookmarkStart w:name="z56" w:id="46"/>
    <w:p>
      <w:pPr>
        <w:spacing w:after="0"/>
        <w:ind w:left="0"/>
        <w:jc w:val="both"/>
      </w:pPr>
      <w:r>
        <w:rPr>
          <w:rFonts w:ascii="Times New Roman"/>
          <w:b w:val="false"/>
          <w:i w:val="false"/>
          <w:color w:val="000000"/>
          <w:sz w:val="28"/>
        </w:rPr>
        <w:t>
      Содержание животных в районе в течении года делится на два вида по сезонам. Летний сезон пастбищ начинается в конце апреля - начале мая и заканчивается в конце октября - начале ноября. Зимой крупный рогатый скот содержится за счет кормовых культур, изготовленных из натуральных трави зерновых культур, которые выращены из плодотворных семян на территории района.</w:t>
      </w:r>
    </w:p>
    <w:bookmarkEnd w:id="46"/>
    <w:bookmarkStart w:name="z57" w:id="47"/>
    <w:p>
      <w:pPr>
        <w:spacing w:after="0"/>
        <w:ind w:left="0"/>
        <w:jc w:val="left"/>
      </w:pPr>
      <w:r>
        <w:rPr>
          <w:rFonts w:ascii="Times New Roman"/>
          <w:b/>
          <w:i w:val="false"/>
          <w:color w:val="000000"/>
        </w:rPr>
        <w:t xml:space="preserve"> Площади земли района Т. Рыскулова выделенные по категориям</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2465"/>
        <w:gridCol w:w="3153"/>
        <w:gridCol w:w="3153"/>
        <w:gridCol w:w="2693"/>
      </w:tblGrid>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П №</w:t>
            </w:r>
          </w:p>
          <w:bookmarkEnd w:id="48"/>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земли</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Орошенные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w:t>
            </w:r>
          </w:p>
          <w:bookmarkEnd w:id="49"/>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использование земли для сельскохозяйственных угодий</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748105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568698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2</w:t>
            </w:r>
          </w:p>
          <w:bookmarkEnd w:id="50"/>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3</w:t>
            </w:r>
          </w:p>
          <w:bookmarkEnd w:id="51"/>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транспорт, оборона, связь и другие земли</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4</w:t>
            </w:r>
          </w:p>
          <w:bookmarkEnd w:id="52"/>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5</w:t>
            </w:r>
          </w:p>
          <w:bookmarkEnd w:id="53"/>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лесных ресурсов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6</w:t>
            </w:r>
          </w:p>
          <w:bookmarkEnd w:id="54"/>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водных ресурсов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7</w:t>
            </w:r>
          </w:p>
          <w:bookmarkEnd w:id="55"/>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земельный фонд</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908691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703661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w:t>
            </w:r>
          </w:p>
        </w:tc>
      </w:tr>
    </w:tbl>
    <w:bookmarkStart w:name="z68" w:id="56"/>
    <w:p>
      <w:pPr>
        <w:spacing w:after="0"/>
        <w:ind w:left="0"/>
        <w:jc w:val="left"/>
      </w:pPr>
      <w:r>
        <w:rPr>
          <w:rFonts w:ascii="Times New Roman"/>
          <w:b/>
          <w:i w:val="false"/>
          <w:color w:val="000000"/>
        </w:rPr>
        <w:t xml:space="preserve"> 2. Рельеф земли</w:t>
      </w:r>
    </w:p>
    <w:bookmarkEnd w:id="56"/>
    <w:bookmarkStart w:name="z69" w:id="57"/>
    <w:p>
      <w:pPr>
        <w:spacing w:after="0"/>
        <w:ind w:left="0"/>
        <w:jc w:val="both"/>
      </w:pPr>
      <w:r>
        <w:rPr>
          <w:rFonts w:ascii="Times New Roman"/>
          <w:b w:val="false"/>
          <w:i w:val="false"/>
          <w:color w:val="000000"/>
          <w:sz w:val="28"/>
        </w:rPr>
        <w:t>
      Территория района находится в равномерной плоскости, местами рельеф меняется холмами и неровностями, так же имеются 9 малоҰмкие водоҰмы.</w:t>
      </w:r>
    </w:p>
    <w:bookmarkEnd w:id="57"/>
    <w:bookmarkStart w:name="z70" w:id="58"/>
    <w:p>
      <w:pPr>
        <w:spacing w:after="0"/>
        <w:ind w:left="0"/>
        <w:jc w:val="both"/>
      </w:pPr>
      <w:r>
        <w:rPr>
          <w:rFonts w:ascii="Times New Roman"/>
          <w:b w:val="false"/>
          <w:i w:val="false"/>
          <w:color w:val="000000"/>
          <w:sz w:val="28"/>
        </w:rPr>
        <w:t>
      Особенность рельефа заключается в том, что основную часть окружают заросли и степи. В различных территориях разбросанные малыми деревьями как тополь и карагач, а равнины различаются своими лугами и болотами.</w:t>
      </w:r>
    </w:p>
    <w:bookmarkEnd w:id="58"/>
    <w:bookmarkStart w:name="z71" w:id="59"/>
    <w:p>
      <w:pPr>
        <w:spacing w:after="0"/>
        <w:ind w:left="0"/>
        <w:jc w:val="both"/>
      </w:pPr>
      <w:r>
        <w:rPr>
          <w:rFonts w:ascii="Times New Roman"/>
          <w:b w:val="false"/>
          <w:i w:val="false"/>
          <w:color w:val="000000"/>
          <w:sz w:val="28"/>
        </w:rPr>
        <w:t>
      Природные условия Т. Рыскуловского района включая климат, почву и ландшафт идеально подходят для сельскохозяйственной деятельности. Его плодородная земля очень комфортна для использования и получения естественных и высоко производительных результатов при выращивании различных сельскохозяйственных культур.</w:t>
      </w:r>
    </w:p>
    <w:bookmarkEnd w:id="59"/>
    <w:bookmarkStart w:name="z72" w:id="60"/>
    <w:p>
      <w:pPr>
        <w:spacing w:after="0"/>
        <w:ind w:left="0"/>
        <w:jc w:val="both"/>
      </w:pPr>
      <w:r>
        <w:rPr>
          <w:rFonts w:ascii="Times New Roman"/>
          <w:b w:val="false"/>
          <w:i w:val="false"/>
          <w:color w:val="000000"/>
          <w:sz w:val="28"/>
        </w:rPr>
        <w:t>
      Микрорельеф, то есть земная поверхность соответствует сложно-системным слоям почвы. Значительная часть поверхности почвы подходит для использования в районе выращивания и уборки сельскохозяйственных культур, обработки почвы и подходит для животноводства, то есть ландшафт очень удобен для механической обработки почв и выращивания сельскохозяйственных продуктов питания.</w:t>
      </w:r>
    </w:p>
    <w:bookmarkEnd w:id="60"/>
    <w:bookmarkStart w:name="z73" w:id="61"/>
    <w:p>
      <w:pPr>
        <w:spacing w:after="0"/>
        <w:ind w:left="0"/>
        <w:jc w:val="left"/>
      </w:pPr>
      <w:r>
        <w:rPr>
          <w:rFonts w:ascii="Times New Roman"/>
          <w:b/>
          <w:i w:val="false"/>
          <w:color w:val="000000"/>
        </w:rPr>
        <w:t xml:space="preserve"> 3. Растения</w:t>
      </w:r>
    </w:p>
    <w:bookmarkEnd w:id="61"/>
    <w:bookmarkStart w:name="z74" w:id="62"/>
    <w:p>
      <w:pPr>
        <w:spacing w:after="0"/>
        <w:ind w:left="0"/>
        <w:jc w:val="both"/>
      </w:pPr>
      <w:r>
        <w:rPr>
          <w:rFonts w:ascii="Times New Roman"/>
          <w:b w:val="false"/>
          <w:i w:val="false"/>
          <w:color w:val="000000"/>
          <w:sz w:val="28"/>
        </w:rPr>
        <w:t>
      Растительность создавая биологическую миграцию в аккумуляции зольных веществ является главным фактором почвообразования. Видовое разнообразие растительности, ареал и характер распространения находятся в прямой зависимости от климатического фона, глубины залегания грунтовых вод, рельефа местности произрастания и от деятельности человека на территориях вовлеченных в сельскохозяйственное производство. Растительность горной части, где распространены горные темно-каштановые и светлокаштановые почвы, представлена типчаково-ковыльной, калтыковой и злаково-полынной ассоциациям. Среди растений преобладающими являются ковыль и типчак, а также калтык (дикий ячмень) и другие. Проективные покрытие почвы растительностью колеблется от 30% до 70 %.</w:t>
      </w:r>
    </w:p>
    <w:bookmarkEnd w:id="62"/>
    <w:bookmarkStart w:name="z75" w:id="63"/>
    <w:p>
      <w:pPr>
        <w:spacing w:after="0"/>
        <w:ind w:left="0"/>
        <w:jc w:val="both"/>
      </w:pPr>
      <w:r>
        <w:rPr>
          <w:rFonts w:ascii="Times New Roman"/>
          <w:b w:val="false"/>
          <w:i w:val="false"/>
          <w:color w:val="000000"/>
          <w:sz w:val="28"/>
        </w:rPr>
        <w:t>
      В районе прегорной и подгорной слабо наклонной равнины на обыкновенных сероземах растительность представлена полынно-степной ассоциацией. Преобладающими из растений являются. Полынь серая, осочка пустынная, мятлик, эбелек, ковыль и др. Проективное покрытие почвы растительностью составляет около 20-30 %.</w:t>
      </w:r>
    </w:p>
    <w:bookmarkEnd w:id="63"/>
    <w:bookmarkStart w:name="z76" w:id="64"/>
    <w:p>
      <w:pPr>
        <w:spacing w:after="0"/>
        <w:ind w:left="0"/>
        <w:jc w:val="both"/>
      </w:pPr>
      <w:r>
        <w:rPr>
          <w:rFonts w:ascii="Times New Roman"/>
          <w:b w:val="false"/>
          <w:i w:val="false"/>
          <w:color w:val="000000"/>
          <w:sz w:val="28"/>
        </w:rPr>
        <w:t>
      В районе сазовой равнины, где почвенный покров более разнообразен, растительность по сравнению с предгорной частью тоже более разнообразна.</w:t>
      </w:r>
    </w:p>
    <w:bookmarkEnd w:id="64"/>
    <w:bookmarkStart w:name="z77" w:id="65"/>
    <w:p>
      <w:pPr>
        <w:spacing w:after="0"/>
        <w:ind w:left="0"/>
        <w:jc w:val="both"/>
      </w:pPr>
      <w:r>
        <w:rPr>
          <w:rFonts w:ascii="Times New Roman"/>
          <w:b w:val="false"/>
          <w:i w:val="false"/>
          <w:color w:val="000000"/>
          <w:sz w:val="28"/>
        </w:rPr>
        <w:t>
      Если на обыкновенных сераземах растительность представлена эфемеро-полынно-степной растительностью, то уже на более пониженных участках района к лугово-сероземным и сероземно-луговым почвам приурочен полынно-злаковый с разнотравьем травостой(пырей, лебеда, свинорой, сафора, горчак, татрник и др).</w:t>
      </w:r>
    </w:p>
    <w:bookmarkEnd w:id="65"/>
    <w:bookmarkStart w:name="z78" w:id="66"/>
    <w:p>
      <w:pPr>
        <w:spacing w:after="0"/>
        <w:ind w:left="0"/>
        <w:jc w:val="both"/>
      </w:pPr>
      <w:r>
        <w:rPr>
          <w:rFonts w:ascii="Times New Roman"/>
          <w:b w:val="false"/>
          <w:i w:val="false"/>
          <w:color w:val="000000"/>
          <w:sz w:val="28"/>
        </w:rPr>
        <w:t>
      Ниже представлена таблица шести степных пастбищных угодий на естественных пастбищах.</w:t>
      </w:r>
    </w:p>
    <w:bookmarkEnd w:id="66"/>
    <w:bookmarkStart w:name="z79" w:id="67"/>
    <w:p>
      <w:pPr>
        <w:spacing w:after="0"/>
        <w:ind w:left="0"/>
        <w:jc w:val="left"/>
      </w:pPr>
      <w:r>
        <w:rPr>
          <w:rFonts w:ascii="Times New Roman"/>
          <w:b/>
          <w:i w:val="false"/>
          <w:color w:val="000000"/>
        </w:rPr>
        <w:t xml:space="preserve"> Проект таблицы шести степных пастбищных угодий после использования одноразовых пастбищ с учетом календарных графигов использования</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999"/>
        <w:gridCol w:w="1999"/>
        <w:gridCol w:w="1999"/>
        <w:gridCol w:w="1999"/>
        <w:gridCol w:w="1999"/>
        <w:gridCol w:w="2000"/>
      </w:tblGrid>
      <w:tr>
        <w:trPr>
          <w:trHeight w:val="30" w:hRule="atLeast"/>
        </w:trPr>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Годы</w:t>
            </w:r>
          </w:p>
          <w:bookmarkEnd w:id="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пастбищных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1</w:t>
            </w:r>
          </w:p>
          <w:bookmarkEnd w:id="69"/>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по30.09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2</w:t>
            </w:r>
          </w:p>
          <w:bookmarkEnd w:id="70"/>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по30.09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3</w:t>
            </w:r>
          </w:p>
          <w:bookmarkEnd w:id="71"/>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по30.09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4</w:t>
            </w:r>
          </w:p>
          <w:bookmarkEnd w:id="72"/>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по30.09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5</w:t>
            </w:r>
          </w:p>
          <w:bookmarkEnd w:id="73"/>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 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по30.09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6</w:t>
            </w:r>
          </w:p>
          <w:bookmarkEnd w:id="74"/>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24.04. по 02.06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03.06. по 12.07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13.07. по 21.08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22.08. по 30.09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пастбища (выгон не производится)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выгон</w:t>
            </w:r>
            <w:r>
              <w:br/>
            </w:r>
            <w:r>
              <w:rPr>
                <w:rFonts w:ascii="Times New Roman"/>
                <w:b w:val="false"/>
                <w:i w:val="false"/>
                <w:color w:val="000000"/>
                <w:sz w:val="20"/>
              </w:rPr>
              <w:t>
С 01.10. по10.11.</w:t>
            </w:r>
          </w:p>
        </w:tc>
      </w:tr>
    </w:tbl>
    <w:bookmarkStart w:name="z88" w:id="75"/>
    <w:p>
      <w:pPr>
        <w:spacing w:after="0"/>
        <w:ind w:left="0"/>
        <w:jc w:val="both"/>
      </w:pPr>
      <w:r>
        <w:rPr>
          <w:rFonts w:ascii="Times New Roman"/>
          <w:b w:val="false"/>
          <w:i w:val="false"/>
          <w:color w:val="000000"/>
          <w:sz w:val="28"/>
        </w:rPr>
        <w:t>
      Как видно в схеме пастбищного вращения, раз в 6 лет флора данной территории "отдыхает", а это означает, что деградация пастбищ предотвращается.</w:t>
      </w:r>
    </w:p>
    <w:bookmarkEnd w:id="75"/>
    <w:bookmarkStart w:name="z89" w:id="76"/>
    <w:p>
      <w:pPr>
        <w:spacing w:after="0"/>
        <w:ind w:left="0"/>
        <w:jc w:val="left"/>
      </w:pPr>
      <w:r>
        <w:rPr>
          <w:rFonts w:ascii="Times New Roman"/>
          <w:b/>
          <w:i w:val="false"/>
          <w:color w:val="000000"/>
        </w:rPr>
        <w:t xml:space="preserve"> 4. Гидрография и полив</w:t>
      </w:r>
    </w:p>
    <w:bookmarkEnd w:id="76"/>
    <w:bookmarkStart w:name="z90" w:id="77"/>
    <w:p>
      <w:pPr>
        <w:spacing w:after="0"/>
        <w:ind w:left="0"/>
        <w:jc w:val="both"/>
      </w:pPr>
      <w:r>
        <w:rPr>
          <w:rFonts w:ascii="Times New Roman"/>
          <w:b w:val="false"/>
          <w:i w:val="false"/>
          <w:color w:val="000000"/>
          <w:sz w:val="28"/>
        </w:rPr>
        <w:t>
      Территория района находится в равномерной плоскости, местами рельеф меняется холмами и неровностями, так же имеются 9 малоҰмкие водоҰмы.</w:t>
      </w:r>
    </w:p>
    <w:bookmarkEnd w:id="77"/>
    <w:bookmarkStart w:name="z91" w:id="78"/>
    <w:p>
      <w:pPr>
        <w:spacing w:after="0"/>
        <w:ind w:left="0"/>
        <w:jc w:val="both"/>
      </w:pPr>
      <w:r>
        <w:rPr>
          <w:rFonts w:ascii="Times New Roman"/>
          <w:b w:val="false"/>
          <w:i w:val="false"/>
          <w:color w:val="000000"/>
          <w:sz w:val="28"/>
        </w:rPr>
        <w:t>
      Объем воды, площадь и глубина озера варьируются в зависимости от количества осадков, а также используются апаны (ручные водоемы) для водопоя животных.</w:t>
      </w:r>
    </w:p>
    <w:bookmarkEnd w:id="78"/>
    <w:bookmarkStart w:name="z92" w:id="79"/>
    <w:p>
      <w:pPr>
        <w:spacing w:after="0"/>
        <w:ind w:left="0"/>
        <w:jc w:val="both"/>
      </w:pPr>
      <w:r>
        <w:rPr>
          <w:rFonts w:ascii="Times New Roman"/>
          <w:b w:val="false"/>
          <w:i w:val="false"/>
          <w:color w:val="000000"/>
          <w:sz w:val="28"/>
        </w:rPr>
        <w:t>
      В заключение можно отметить, что источники орошения и ручные водоемы полностью удовлетворяют потребности воды животными в данном районе.</w:t>
      </w:r>
    </w:p>
    <w:bookmarkEnd w:id="79"/>
    <w:bookmarkStart w:name="z93" w:id="80"/>
    <w:p>
      <w:pPr>
        <w:spacing w:after="0"/>
        <w:ind w:left="0"/>
        <w:jc w:val="left"/>
      </w:pPr>
      <w:r>
        <w:rPr>
          <w:rFonts w:ascii="Times New Roman"/>
          <w:b/>
          <w:i w:val="false"/>
          <w:color w:val="000000"/>
        </w:rPr>
        <w:t xml:space="preserve"> 5. Геоботаника пастбищ</w:t>
      </w:r>
    </w:p>
    <w:bookmarkEnd w:id="80"/>
    <w:bookmarkStart w:name="z94" w:id="81"/>
    <w:p>
      <w:pPr>
        <w:spacing w:after="0"/>
        <w:ind w:left="0"/>
        <w:jc w:val="both"/>
      </w:pPr>
      <w:r>
        <w:rPr>
          <w:rFonts w:ascii="Times New Roman"/>
          <w:b w:val="false"/>
          <w:i w:val="false"/>
          <w:color w:val="000000"/>
          <w:sz w:val="28"/>
        </w:rPr>
        <w:t>
      Для определения продуктивности пастбищ использовались данные геоботанических исследований специалистов Республиканского государственного предприятия "Гос НПЦзем" на 1980-2012 годы. Средний урожай сухой массы пастбищ составляет 3,3 центнер за гектар по размеру корма - при -1,5 центнер за гектар. Суммируя это, мы можем рассчитать вес кормовой единицы в районе: 1,5 * 703661 гектар = 1055491центнера корма.</w:t>
      </w:r>
    </w:p>
    <w:bookmarkEnd w:id="81"/>
    <w:bookmarkStart w:name="z95" w:id="82"/>
    <w:p>
      <w:pPr>
        <w:spacing w:after="0"/>
        <w:ind w:left="0"/>
        <w:jc w:val="both"/>
      </w:pPr>
      <w:r>
        <w:rPr>
          <w:rFonts w:ascii="Times New Roman"/>
          <w:b w:val="false"/>
          <w:i w:val="false"/>
          <w:color w:val="000000"/>
          <w:sz w:val="28"/>
        </w:rPr>
        <w:t>
      Запас пищи для скота используется для выпаса, который продлевается 180-200 дней. Вспомогательные запасы травы и запасы кошения используются в зимний период.</w:t>
      </w:r>
    </w:p>
    <w:bookmarkEnd w:id="82"/>
    <w:bookmarkStart w:name="z96" w:id="83"/>
    <w:p>
      <w:pPr>
        <w:spacing w:after="0"/>
        <w:ind w:left="0"/>
        <w:jc w:val="left"/>
      </w:pPr>
      <w:r>
        <w:rPr>
          <w:rFonts w:ascii="Times New Roman"/>
          <w:b/>
          <w:i w:val="false"/>
          <w:color w:val="000000"/>
        </w:rPr>
        <w:t xml:space="preserve"> 6. Мощность пастбищ</w:t>
      </w:r>
    </w:p>
    <w:bookmarkEnd w:id="83"/>
    <w:bookmarkStart w:name="z97" w:id="84"/>
    <w:p>
      <w:pPr>
        <w:spacing w:after="0"/>
        <w:ind w:left="0"/>
        <w:jc w:val="both"/>
      </w:pPr>
      <w:r>
        <w:rPr>
          <w:rFonts w:ascii="Times New Roman"/>
          <w:b w:val="false"/>
          <w:i w:val="false"/>
          <w:color w:val="000000"/>
          <w:sz w:val="28"/>
        </w:rPr>
        <w:t>
      Определение пастбищного потенциала было основано на данных о его производительности в период пастбищ. Приблизительно были получены следующие нормы зеленой травы (в среднем одна голова): крупный рогатый скот - 4 килограмм, мелкий рогатый скот - 2 килограмм, лошадь - 6 килограмм. Продолжительность пастбищного периода составляет 180-200 дней. Таким образом, можно определить способность пастбища, зная пастбищный продукт, необходимость в один день корма для животных, продолжительность пастбищного периода.</w:t>
      </w:r>
    </w:p>
    <w:bookmarkEnd w:id="84"/>
    <w:bookmarkStart w:name="z98" w:id="85"/>
    <w:p>
      <w:pPr>
        <w:spacing w:after="0"/>
        <w:ind w:left="0"/>
        <w:jc w:val="both"/>
      </w:pPr>
      <w:r>
        <w:rPr>
          <w:rFonts w:ascii="Times New Roman"/>
          <w:b w:val="false"/>
          <w:i w:val="false"/>
          <w:color w:val="000000"/>
          <w:sz w:val="28"/>
        </w:rPr>
        <w:t>
      Средняя продуктивность пастбищ, то есть сухая масса 3,3 центнера с гектара, продолжительность 180 дней, даты начала одного из выпаса скота пастбища, необходима 4 килограмм зеленой пищи на всех этапах требуется 4 * 180 = 720 килограмм или 7,2 центнер.</w:t>
      </w:r>
    </w:p>
    <w:bookmarkEnd w:id="85"/>
    <w:bookmarkStart w:name="z99" w:id="86"/>
    <w:p>
      <w:pPr>
        <w:spacing w:after="0"/>
        <w:ind w:left="0"/>
        <w:jc w:val="left"/>
      </w:pPr>
      <w:r>
        <w:rPr>
          <w:rFonts w:ascii="Times New Roman"/>
          <w:b/>
          <w:i w:val="false"/>
          <w:color w:val="000000"/>
        </w:rPr>
        <w:t xml:space="preserve"> Сведений о ветеринарно-санитарных объектах по району Т. Рыскулова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1498"/>
        <w:gridCol w:w="2326"/>
        <w:gridCol w:w="2326"/>
        <w:gridCol w:w="2326"/>
        <w:gridCol w:w="1499"/>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П/н, №</w:t>
            </w:r>
          </w:p>
          <w:bookmarkEnd w:id="87"/>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селького округа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купания животных</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случек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захоронения животных</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1</w:t>
            </w:r>
          </w:p>
          <w:bookmarkEnd w:id="88"/>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2</w:t>
            </w:r>
          </w:p>
          <w:bookmarkEnd w:id="89"/>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Каракыстак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3</w:t>
            </w:r>
          </w:p>
          <w:bookmarkEnd w:id="90"/>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4</w:t>
            </w:r>
          </w:p>
          <w:bookmarkEnd w:id="91"/>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5</w:t>
            </w:r>
          </w:p>
          <w:bookmarkEnd w:id="92"/>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6</w:t>
            </w:r>
          </w:p>
          <w:bookmarkEnd w:id="93"/>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7</w:t>
            </w:r>
          </w:p>
          <w:bookmarkEnd w:id="94"/>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8</w:t>
            </w:r>
          </w:p>
          <w:bookmarkEnd w:id="95"/>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Кокдонен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9</w:t>
            </w:r>
          </w:p>
          <w:bookmarkEnd w:id="96"/>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Когершин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10</w:t>
            </w:r>
          </w:p>
          <w:bookmarkEnd w:id="97"/>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11</w:t>
            </w:r>
          </w:p>
          <w:bookmarkEnd w:id="98"/>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12</w:t>
            </w:r>
          </w:p>
          <w:bookmarkEnd w:id="99"/>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13</w:t>
            </w:r>
          </w:p>
          <w:bookmarkEnd w:id="100"/>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Акыртобе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14</w:t>
            </w:r>
          </w:p>
          <w:bookmarkEnd w:id="101"/>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Теренозек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15</w:t>
            </w:r>
          </w:p>
          <w:bookmarkEnd w:id="102"/>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7" w:id="103"/>
    <w:p>
      <w:pPr>
        <w:spacing w:after="0"/>
        <w:ind w:left="0"/>
        <w:jc w:val="left"/>
      </w:pPr>
      <w:r>
        <w:rPr>
          <w:rFonts w:ascii="Times New Roman"/>
          <w:b/>
          <w:i w:val="false"/>
          <w:color w:val="000000"/>
        </w:rPr>
        <w:t xml:space="preserve"> Данные о численности поголовья сельскохозяйственных животных по району Т. Рыскулова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206"/>
        <w:gridCol w:w="3035"/>
        <w:gridCol w:w="3557"/>
        <w:gridCol w:w="3037"/>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Р/с</w:t>
            </w:r>
          </w:p>
          <w:bookmarkEnd w:id="10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селького округа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r>
              <w:br/>
            </w:r>
            <w:r>
              <w:rPr>
                <w:rFonts w:ascii="Times New Roman"/>
                <w:b w:val="false"/>
                <w:i w:val="false"/>
                <w:color w:val="000000"/>
                <w:sz w:val="20"/>
              </w:rPr>
              <w:t>
(стадо)</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 (отара)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(табун)</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1</w:t>
            </w:r>
          </w:p>
          <w:bookmarkEnd w:id="10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Жаңатурмыс</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Құлбарақов Ф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Елшібаев Б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Тобатаев Н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2</w:t>
            </w:r>
          </w:p>
          <w:bookmarkEnd w:id="10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Каракыстак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К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Кабылханов 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 Е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3</w:t>
            </w:r>
          </w:p>
          <w:bookmarkEnd w:id="10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Өскенбаев Ж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Амрекулов Р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Шайыхов Е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4</w:t>
            </w:r>
          </w:p>
          <w:bookmarkEnd w:id="10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Курагаты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Далибаева С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Тоқтанов Г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9"/>
          <w:p>
            <w:pPr>
              <w:spacing w:after="20"/>
              <w:ind w:left="20"/>
              <w:jc w:val="both"/>
            </w:pPr>
            <w:r>
              <w:rPr>
                <w:rFonts w:ascii="Times New Roman"/>
                <w:b w:val="false"/>
                <w:i w:val="false"/>
                <w:color w:val="000000"/>
                <w:sz w:val="20"/>
              </w:rPr>
              <w:t>
5</w:t>
            </w:r>
          </w:p>
          <w:bookmarkEnd w:id="10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Бохаев Б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Таштанов А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6</w:t>
            </w:r>
          </w:p>
          <w:bookmarkEnd w:id="11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7</w:t>
            </w:r>
          </w:p>
          <w:bookmarkEnd w:id="11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Раймкулов К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Таңбаев Е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С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2"/>
          <w:p>
            <w:pPr>
              <w:spacing w:after="20"/>
              <w:ind w:left="20"/>
              <w:jc w:val="both"/>
            </w:pPr>
            <w:r>
              <w:rPr>
                <w:rFonts w:ascii="Times New Roman"/>
                <w:b w:val="false"/>
                <w:i w:val="false"/>
                <w:color w:val="000000"/>
                <w:sz w:val="20"/>
              </w:rPr>
              <w:t>
8</w:t>
            </w:r>
          </w:p>
          <w:bookmarkEnd w:id="11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Кокдонен</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С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Ыбрайымов С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3"/>
          <w:p>
            <w:pPr>
              <w:spacing w:after="20"/>
              <w:ind w:left="20"/>
              <w:jc w:val="both"/>
            </w:pPr>
            <w:r>
              <w:rPr>
                <w:rFonts w:ascii="Times New Roman"/>
                <w:b w:val="false"/>
                <w:i w:val="false"/>
                <w:color w:val="000000"/>
                <w:sz w:val="20"/>
              </w:rPr>
              <w:t>
9</w:t>
            </w:r>
          </w:p>
          <w:bookmarkEnd w:id="11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Когершин</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Базаралиев Х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Ахаев С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4"/>
          <w:p>
            <w:pPr>
              <w:spacing w:after="20"/>
              <w:ind w:left="20"/>
              <w:jc w:val="both"/>
            </w:pPr>
            <w:r>
              <w:rPr>
                <w:rFonts w:ascii="Times New Roman"/>
                <w:b w:val="false"/>
                <w:i w:val="false"/>
                <w:color w:val="000000"/>
                <w:sz w:val="20"/>
              </w:rPr>
              <w:t>
10</w:t>
            </w:r>
          </w:p>
          <w:bookmarkEnd w:id="11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Кумарык</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Амреев А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Қораласбаев Ш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Байсакалов А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Қораласбаев А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5"/>
          <w:p>
            <w:pPr>
              <w:spacing w:after="20"/>
              <w:ind w:left="20"/>
              <w:jc w:val="both"/>
            </w:pPr>
            <w:r>
              <w:rPr>
                <w:rFonts w:ascii="Times New Roman"/>
                <w:b w:val="false"/>
                <w:i w:val="false"/>
                <w:color w:val="000000"/>
                <w:sz w:val="20"/>
              </w:rPr>
              <w:t>
11</w:t>
            </w:r>
          </w:p>
          <w:bookmarkEnd w:id="11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Букетов С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6"/>
          <w:p>
            <w:pPr>
              <w:spacing w:after="20"/>
              <w:ind w:left="20"/>
              <w:jc w:val="both"/>
            </w:pPr>
            <w:r>
              <w:rPr>
                <w:rFonts w:ascii="Times New Roman"/>
                <w:b w:val="false"/>
                <w:i w:val="false"/>
                <w:color w:val="000000"/>
                <w:sz w:val="20"/>
              </w:rPr>
              <w:t>
12</w:t>
            </w:r>
          </w:p>
          <w:bookmarkEnd w:id="11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Е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Доненбаев С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Рахметілдаев Н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7"/>
          <w:p>
            <w:pPr>
              <w:spacing w:after="20"/>
              <w:ind w:left="20"/>
              <w:jc w:val="both"/>
            </w:pPr>
            <w:r>
              <w:rPr>
                <w:rFonts w:ascii="Times New Roman"/>
                <w:b w:val="false"/>
                <w:i w:val="false"/>
                <w:color w:val="000000"/>
                <w:sz w:val="20"/>
              </w:rPr>
              <w:t>
13</w:t>
            </w:r>
          </w:p>
          <w:bookmarkEnd w:id="11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Акыртобе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Д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8"/>
          <w:p>
            <w:pPr>
              <w:spacing w:after="20"/>
              <w:ind w:left="20"/>
              <w:jc w:val="both"/>
            </w:pPr>
            <w:r>
              <w:rPr>
                <w:rFonts w:ascii="Times New Roman"/>
                <w:b w:val="false"/>
                <w:i w:val="false"/>
                <w:color w:val="000000"/>
                <w:sz w:val="20"/>
              </w:rPr>
              <w:t>
14</w:t>
            </w:r>
          </w:p>
          <w:bookmarkEnd w:id="11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Теренозек</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Бакулиев Т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М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Ж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Султанбаев Г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9"/>
          <w:p>
            <w:pPr>
              <w:spacing w:after="20"/>
              <w:ind w:left="20"/>
              <w:jc w:val="both"/>
            </w:pPr>
            <w:r>
              <w:rPr>
                <w:rFonts w:ascii="Times New Roman"/>
                <w:b w:val="false"/>
                <w:i w:val="false"/>
                <w:color w:val="000000"/>
                <w:sz w:val="20"/>
              </w:rPr>
              <w:t>
15</w:t>
            </w:r>
          </w:p>
          <w:bookmarkEnd w:id="11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подсобное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Е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Актанбердиев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А крестьянское хозяйство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r>
    </w:tbl>
    <w:bookmarkStart w:name="z188" w:id="120"/>
    <w:p>
      <w:pPr>
        <w:spacing w:after="0"/>
        <w:ind w:left="0"/>
        <w:jc w:val="left"/>
      </w:pPr>
      <w:r>
        <w:rPr>
          <w:rFonts w:ascii="Times New Roman"/>
          <w:b/>
          <w:i w:val="false"/>
          <w:color w:val="000000"/>
        </w:rPr>
        <w:t xml:space="preserve"> Данных о количестве гуртов, отар, табунов, сформированных по видам и половозрастным группам сельскохозяйственных животных по району Т. Рыскулова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936"/>
        <w:gridCol w:w="2733"/>
        <w:gridCol w:w="2733"/>
        <w:gridCol w:w="2734"/>
        <w:gridCol w:w="576"/>
        <w:gridCol w:w="576"/>
      </w:tblGrid>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1"/>
          <w:p>
            <w:pPr>
              <w:spacing w:after="20"/>
              <w:ind w:left="20"/>
              <w:jc w:val="both"/>
            </w:pPr>
            <w:r>
              <w:rPr>
                <w:rFonts w:ascii="Times New Roman"/>
                <w:b w:val="false"/>
                <w:i w:val="false"/>
                <w:color w:val="000000"/>
                <w:sz w:val="20"/>
              </w:rPr>
              <w:t>
Р/с</w:t>
            </w:r>
          </w:p>
          <w:bookmarkEnd w:id="121"/>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сельского округа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табунов, отар, гуртов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2"/>
          <w:p>
            <w:pPr>
              <w:spacing w:after="20"/>
              <w:ind w:left="20"/>
              <w:jc w:val="both"/>
            </w:pPr>
            <w:r>
              <w:rPr>
                <w:rFonts w:ascii="Times New Roman"/>
                <w:b w:val="false"/>
                <w:i w:val="false"/>
                <w:color w:val="000000"/>
                <w:sz w:val="20"/>
              </w:rPr>
              <w:t>
1</w:t>
            </w:r>
          </w:p>
          <w:bookmarkEnd w:id="122"/>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3"/>
          <w:p>
            <w:pPr>
              <w:spacing w:after="20"/>
              <w:ind w:left="20"/>
              <w:jc w:val="both"/>
            </w:pPr>
            <w:r>
              <w:rPr>
                <w:rFonts w:ascii="Times New Roman"/>
                <w:b w:val="false"/>
                <w:i w:val="false"/>
                <w:color w:val="000000"/>
                <w:sz w:val="20"/>
              </w:rPr>
              <w:t>
2</w:t>
            </w:r>
          </w:p>
          <w:bookmarkEnd w:id="123"/>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4"/>
          <w:p>
            <w:pPr>
              <w:spacing w:after="20"/>
              <w:ind w:left="20"/>
              <w:jc w:val="both"/>
            </w:pPr>
            <w:r>
              <w:rPr>
                <w:rFonts w:ascii="Times New Roman"/>
                <w:b w:val="false"/>
                <w:i w:val="false"/>
                <w:color w:val="000000"/>
                <w:sz w:val="20"/>
              </w:rPr>
              <w:t>
3</w:t>
            </w:r>
          </w:p>
          <w:bookmarkEnd w:id="124"/>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5"/>
          <w:p>
            <w:pPr>
              <w:spacing w:after="20"/>
              <w:ind w:left="20"/>
              <w:jc w:val="both"/>
            </w:pPr>
            <w:r>
              <w:rPr>
                <w:rFonts w:ascii="Times New Roman"/>
                <w:b w:val="false"/>
                <w:i w:val="false"/>
                <w:color w:val="000000"/>
                <w:sz w:val="20"/>
              </w:rPr>
              <w:t>
4</w:t>
            </w:r>
          </w:p>
          <w:bookmarkEnd w:id="125"/>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6"/>
          <w:p>
            <w:pPr>
              <w:spacing w:after="20"/>
              <w:ind w:left="20"/>
              <w:jc w:val="both"/>
            </w:pPr>
            <w:r>
              <w:rPr>
                <w:rFonts w:ascii="Times New Roman"/>
                <w:b w:val="false"/>
                <w:i w:val="false"/>
                <w:color w:val="000000"/>
                <w:sz w:val="20"/>
              </w:rPr>
              <w:t>
5</w:t>
            </w:r>
          </w:p>
          <w:bookmarkEnd w:id="126"/>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7"/>
          <w:p>
            <w:pPr>
              <w:spacing w:after="20"/>
              <w:ind w:left="20"/>
              <w:jc w:val="both"/>
            </w:pPr>
            <w:r>
              <w:rPr>
                <w:rFonts w:ascii="Times New Roman"/>
                <w:b w:val="false"/>
                <w:i w:val="false"/>
                <w:color w:val="000000"/>
                <w:sz w:val="20"/>
              </w:rPr>
              <w:t>
6</w:t>
            </w:r>
          </w:p>
          <w:bookmarkEnd w:id="127"/>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8"/>
          <w:p>
            <w:pPr>
              <w:spacing w:after="20"/>
              <w:ind w:left="20"/>
              <w:jc w:val="both"/>
            </w:pPr>
            <w:r>
              <w:rPr>
                <w:rFonts w:ascii="Times New Roman"/>
                <w:b w:val="false"/>
                <w:i w:val="false"/>
                <w:color w:val="000000"/>
                <w:sz w:val="20"/>
              </w:rPr>
              <w:t>
7</w:t>
            </w:r>
          </w:p>
          <w:bookmarkEnd w:id="128"/>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9"/>
          <w:p>
            <w:pPr>
              <w:spacing w:after="20"/>
              <w:ind w:left="20"/>
              <w:jc w:val="both"/>
            </w:pPr>
            <w:r>
              <w:rPr>
                <w:rFonts w:ascii="Times New Roman"/>
                <w:b w:val="false"/>
                <w:i w:val="false"/>
                <w:color w:val="000000"/>
                <w:sz w:val="20"/>
              </w:rPr>
              <w:t>
8</w:t>
            </w:r>
          </w:p>
          <w:bookmarkEnd w:id="129"/>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0"/>
          <w:p>
            <w:pPr>
              <w:spacing w:after="20"/>
              <w:ind w:left="20"/>
              <w:jc w:val="both"/>
            </w:pPr>
            <w:r>
              <w:rPr>
                <w:rFonts w:ascii="Times New Roman"/>
                <w:b w:val="false"/>
                <w:i w:val="false"/>
                <w:color w:val="000000"/>
                <w:sz w:val="20"/>
              </w:rPr>
              <w:t>
9</w:t>
            </w:r>
          </w:p>
          <w:bookmarkEnd w:id="130"/>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1"/>
          <w:p>
            <w:pPr>
              <w:spacing w:after="20"/>
              <w:ind w:left="20"/>
              <w:jc w:val="both"/>
            </w:pPr>
            <w:r>
              <w:rPr>
                <w:rFonts w:ascii="Times New Roman"/>
                <w:b w:val="false"/>
                <w:i w:val="false"/>
                <w:color w:val="000000"/>
                <w:sz w:val="20"/>
              </w:rPr>
              <w:t>
10</w:t>
            </w:r>
          </w:p>
          <w:bookmarkEnd w:id="131"/>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2"/>
          <w:p>
            <w:pPr>
              <w:spacing w:after="20"/>
              <w:ind w:left="20"/>
              <w:jc w:val="both"/>
            </w:pPr>
            <w:r>
              <w:rPr>
                <w:rFonts w:ascii="Times New Roman"/>
                <w:b w:val="false"/>
                <w:i w:val="false"/>
                <w:color w:val="000000"/>
                <w:sz w:val="20"/>
              </w:rPr>
              <w:t>
11</w:t>
            </w:r>
          </w:p>
          <w:bookmarkEnd w:id="132"/>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3"/>
          <w:p>
            <w:pPr>
              <w:spacing w:after="20"/>
              <w:ind w:left="20"/>
              <w:jc w:val="both"/>
            </w:pPr>
            <w:r>
              <w:rPr>
                <w:rFonts w:ascii="Times New Roman"/>
                <w:b w:val="false"/>
                <w:i w:val="false"/>
                <w:color w:val="000000"/>
                <w:sz w:val="20"/>
              </w:rPr>
              <w:t>
12</w:t>
            </w:r>
          </w:p>
          <w:bookmarkEnd w:id="133"/>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4"/>
          <w:p>
            <w:pPr>
              <w:spacing w:after="20"/>
              <w:ind w:left="20"/>
              <w:jc w:val="both"/>
            </w:pPr>
            <w:r>
              <w:rPr>
                <w:rFonts w:ascii="Times New Roman"/>
                <w:b w:val="false"/>
                <w:i w:val="false"/>
                <w:color w:val="000000"/>
                <w:sz w:val="20"/>
              </w:rPr>
              <w:t>
13</w:t>
            </w:r>
          </w:p>
          <w:bookmarkEnd w:id="134"/>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5"/>
          <w:p>
            <w:pPr>
              <w:spacing w:after="20"/>
              <w:ind w:left="20"/>
              <w:jc w:val="both"/>
            </w:pPr>
            <w:r>
              <w:rPr>
                <w:rFonts w:ascii="Times New Roman"/>
                <w:b w:val="false"/>
                <w:i w:val="false"/>
                <w:color w:val="000000"/>
                <w:sz w:val="20"/>
              </w:rPr>
              <w:t>
14</w:t>
            </w:r>
          </w:p>
          <w:bookmarkEnd w:id="135"/>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6"/>
          <w:p>
            <w:pPr>
              <w:spacing w:after="20"/>
              <w:ind w:left="20"/>
              <w:jc w:val="both"/>
            </w:pPr>
            <w:r>
              <w:rPr>
                <w:rFonts w:ascii="Times New Roman"/>
                <w:b w:val="false"/>
                <w:i w:val="false"/>
                <w:color w:val="000000"/>
                <w:sz w:val="20"/>
              </w:rPr>
              <w:t>
15</w:t>
            </w:r>
          </w:p>
          <w:bookmarkEnd w:id="136"/>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37"/>
    <w:p>
      <w:pPr>
        <w:spacing w:after="0"/>
        <w:ind w:left="0"/>
        <w:jc w:val="left"/>
      </w:pPr>
      <w:r>
        <w:rPr>
          <w:rFonts w:ascii="Times New Roman"/>
          <w:b/>
          <w:i w:val="false"/>
          <w:color w:val="000000"/>
        </w:rPr>
        <w:t xml:space="preserve"> План мероприятий по замене пастбищ предоставляемые для размещения и перераспределения поголовья сельскохозяйственных животных</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330"/>
        <w:gridCol w:w="1405"/>
        <w:gridCol w:w="1310"/>
        <w:gridCol w:w="1262"/>
        <w:gridCol w:w="617"/>
        <w:gridCol w:w="1404"/>
        <w:gridCol w:w="1262"/>
        <w:gridCol w:w="1262"/>
        <w:gridCol w:w="521"/>
        <w:gridCol w:w="1263"/>
        <w:gridCol w:w="1263"/>
      </w:tblGrid>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8"/>
          <w:p>
            <w:pPr>
              <w:spacing w:after="20"/>
              <w:ind w:left="20"/>
              <w:jc w:val="both"/>
            </w:pPr>
            <w:r>
              <w:rPr>
                <w:rFonts w:ascii="Times New Roman"/>
                <w:b w:val="false"/>
                <w:i w:val="false"/>
                <w:color w:val="000000"/>
                <w:sz w:val="20"/>
              </w:rPr>
              <w:t>
№</w:t>
            </w:r>
          </w:p>
          <w:bookmarkEnd w:id="138"/>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для потребления населения (пастбища и сенокосы)</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скота у населения и крестьянских хозяйств</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на одно поголовья</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по норма­тиву площади пастбищ (га)</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запрашиваемые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государственного земельного фонда (гектар)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арендуемых земель (гектар)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пастбища (гектар)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Отгоннные пастбища (гектар)</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9"/>
          <w:p>
            <w:pPr>
              <w:spacing w:after="20"/>
              <w:ind w:left="20"/>
              <w:jc w:val="both"/>
            </w:pPr>
            <w:r>
              <w:rPr>
                <w:rFonts w:ascii="Times New Roman"/>
                <w:b w:val="false"/>
                <w:i w:val="false"/>
                <w:color w:val="000000"/>
                <w:sz w:val="20"/>
              </w:rPr>
              <w:t>
1</w:t>
            </w:r>
          </w:p>
          <w:bookmarkEnd w:id="13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С.Когершин</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3424,0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- 1392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 - 7435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470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34 355,0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56399,67</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47815,0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- 1573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11964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- 364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0"/>
          <w:p>
            <w:pPr>
              <w:spacing w:after="20"/>
              <w:ind w:left="20"/>
              <w:jc w:val="both"/>
            </w:pPr>
            <w:r>
              <w:rPr>
                <w:rFonts w:ascii="Times New Roman"/>
                <w:b w:val="false"/>
                <w:i w:val="false"/>
                <w:color w:val="000000"/>
                <w:sz w:val="20"/>
              </w:rPr>
              <w:t>
2</w:t>
            </w:r>
          </w:p>
          <w:bookmarkEnd w:id="14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с.Курагаты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3498 ,0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3267,0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- 1542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--8586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- 362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40557,2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22 374,2</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23766,82</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17313,0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- 380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--4670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-289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1"/>
          <w:p>
            <w:pPr>
              <w:spacing w:after="20"/>
              <w:ind w:left="20"/>
              <w:jc w:val="both"/>
            </w:pPr>
            <w:r>
              <w:rPr>
                <w:rFonts w:ascii="Times New Roman"/>
                <w:b w:val="false"/>
                <w:i w:val="false"/>
                <w:color w:val="000000"/>
                <w:sz w:val="20"/>
              </w:rPr>
              <w:t>
3</w:t>
            </w:r>
          </w:p>
          <w:bookmarkEnd w:id="14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с.Кулан</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722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- 1459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--8901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Лоша­ди-512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24 939,0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41721,0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31764,0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- 839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-- 12000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-600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2"/>
          <w:p>
            <w:pPr>
              <w:spacing w:after="20"/>
              <w:ind w:left="20"/>
              <w:jc w:val="both"/>
            </w:pPr>
            <w:r>
              <w:rPr>
                <w:rFonts w:ascii="Times New Roman"/>
                <w:b w:val="false"/>
                <w:i w:val="false"/>
                <w:color w:val="000000"/>
                <w:sz w:val="20"/>
              </w:rPr>
              <w:t>
4</w:t>
            </w:r>
          </w:p>
          <w:bookmarkEnd w:id="142"/>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С.Кайынды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1908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- 1034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 -10983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-312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37 685,0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22 611,0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19999,32</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пастбища15646,0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360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--10000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-250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3"/>
          <w:p>
            <w:pPr>
              <w:spacing w:after="20"/>
              <w:ind w:left="20"/>
              <w:jc w:val="both"/>
            </w:pPr>
            <w:r>
              <w:rPr>
                <w:rFonts w:ascii="Times New Roman"/>
                <w:b w:val="false"/>
                <w:i w:val="false"/>
                <w:color w:val="000000"/>
                <w:sz w:val="20"/>
              </w:rPr>
              <w:t>
5</w:t>
            </w:r>
          </w:p>
          <w:bookmarkEnd w:id="143"/>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С.Орнек</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1526,0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1892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--44236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97319,2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-557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123 846,0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49 538,0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74308,0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67719,11</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пастбища-51325,0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879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 -65467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144027,4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-3664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150003,0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90002,0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4"/>
          <w:p>
            <w:pPr>
              <w:spacing w:after="20"/>
              <w:ind w:left="20"/>
              <w:jc w:val="both"/>
            </w:pPr>
            <w:r>
              <w:rPr>
                <w:rFonts w:ascii="Times New Roman"/>
                <w:b w:val="false"/>
                <w:i w:val="false"/>
                <w:color w:val="000000"/>
                <w:sz w:val="20"/>
              </w:rPr>
              <w:t>
6</w:t>
            </w:r>
          </w:p>
          <w:bookmarkEnd w:id="144"/>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С.Теренозек</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--1021 ,0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- 260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--8830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Лоша­ди-216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24073,0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46179,55</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-37143,0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932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 -21880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-420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45"/>
          <w:p>
            <w:pPr>
              <w:spacing w:after="20"/>
              <w:ind w:left="20"/>
              <w:jc w:val="both"/>
            </w:pPr>
            <w:r>
              <w:rPr>
                <w:rFonts w:ascii="Times New Roman"/>
                <w:b w:val="false"/>
                <w:i w:val="false"/>
                <w:color w:val="000000"/>
                <w:sz w:val="20"/>
              </w:rPr>
              <w:t>
7</w:t>
            </w:r>
          </w:p>
          <w:bookmarkEnd w:id="14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С.Новосель</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-10,0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- 386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--5365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-291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19292,46</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-4084,0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- 100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--1358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46"/>
          <w:p>
            <w:pPr>
              <w:spacing w:after="20"/>
              <w:ind w:left="20"/>
              <w:jc w:val="both"/>
            </w:pPr>
            <w:r>
              <w:rPr>
                <w:rFonts w:ascii="Times New Roman"/>
                <w:b w:val="false"/>
                <w:i w:val="false"/>
                <w:color w:val="000000"/>
                <w:sz w:val="20"/>
              </w:rPr>
              <w:t>
8</w:t>
            </w:r>
          </w:p>
          <w:bookmarkEnd w:id="14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С.Акыртобе</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пастбища- 1314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- 508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--7182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-1236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14 457,0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- 0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36 142,0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14 457,0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21 685,0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7"/>
          <w:p>
            <w:pPr>
              <w:spacing w:after="20"/>
              <w:ind w:left="20"/>
              <w:jc w:val="both"/>
            </w:pPr>
            <w:r>
              <w:rPr>
                <w:rFonts w:ascii="Times New Roman"/>
                <w:b w:val="false"/>
                <w:i w:val="false"/>
                <w:color w:val="000000"/>
                <w:sz w:val="20"/>
              </w:rPr>
              <w:t>
9</w:t>
            </w:r>
          </w:p>
          <w:bookmarkEnd w:id="14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С.Луговое</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пастбища--1160,0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- 1209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--5779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26916,0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--628,0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8"/>
          <w:p>
            <w:pPr>
              <w:spacing w:after="20"/>
              <w:ind w:left="20"/>
              <w:jc w:val="both"/>
            </w:pPr>
            <w:r>
              <w:rPr>
                <w:rFonts w:ascii="Times New Roman"/>
                <w:b w:val="false"/>
                <w:i w:val="false"/>
                <w:color w:val="000000"/>
                <w:sz w:val="20"/>
              </w:rPr>
              <w:t>
10</w:t>
            </w:r>
          </w:p>
          <w:bookmarkEnd w:id="148"/>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С.Абай</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-268,0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- 772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--6735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-278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10 663,0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25732,56</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пастбища--21336,0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- 1082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--9273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-189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34759,6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8054,2</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49"/>
          <w:p>
            <w:pPr>
              <w:spacing w:after="20"/>
              <w:ind w:left="20"/>
              <w:jc w:val="both"/>
            </w:pPr>
            <w:r>
              <w:rPr>
                <w:rFonts w:ascii="Times New Roman"/>
                <w:b w:val="false"/>
                <w:i w:val="false"/>
                <w:color w:val="000000"/>
                <w:sz w:val="20"/>
              </w:rPr>
              <w:t>
11</w:t>
            </w:r>
          </w:p>
          <w:bookmarkEnd w:id="14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С.Каракыстак</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-2454,0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- 2366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--10320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-330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50 566,0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30 340,0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42827,58</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-31234,0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- 1600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--5564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-511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0"/>
          <w:p>
            <w:pPr>
              <w:spacing w:after="20"/>
              <w:ind w:left="20"/>
              <w:jc w:val="both"/>
            </w:pPr>
            <w:r>
              <w:rPr>
                <w:rFonts w:ascii="Times New Roman"/>
                <w:b w:val="false"/>
                <w:i w:val="false"/>
                <w:color w:val="000000"/>
                <w:sz w:val="20"/>
              </w:rPr>
              <w:t>
12</w:t>
            </w:r>
          </w:p>
          <w:bookmarkEnd w:id="15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С.Акбулак</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-2130,0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- 863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--12211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-370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55263,57</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пастбища- 48816,0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- 815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--36479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-885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51907,0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31145,0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1"/>
          <w:p>
            <w:pPr>
              <w:spacing w:after="20"/>
              <w:ind w:left="20"/>
              <w:jc w:val="both"/>
            </w:pPr>
            <w:r>
              <w:rPr>
                <w:rFonts w:ascii="Times New Roman"/>
                <w:b w:val="false"/>
                <w:i w:val="false"/>
                <w:color w:val="000000"/>
                <w:sz w:val="20"/>
              </w:rPr>
              <w:t>
13</w:t>
            </w:r>
          </w:p>
          <w:bookmarkEnd w:id="15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С.Жанатурмыс</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-1717,0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- 742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--10965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-710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40968,63</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пастбища--34069,0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- 1250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--5800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-620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52"/>
          <w:p>
            <w:pPr>
              <w:spacing w:after="20"/>
              <w:ind w:left="20"/>
              <w:jc w:val="both"/>
            </w:pPr>
            <w:r>
              <w:rPr>
                <w:rFonts w:ascii="Times New Roman"/>
                <w:b w:val="false"/>
                <w:i w:val="false"/>
                <w:color w:val="000000"/>
                <w:sz w:val="20"/>
              </w:rPr>
              <w:t>
14</w:t>
            </w:r>
          </w:p>
          <w:bookmarkEnd w:id="152"/>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С.Кумарык</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-1401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1803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--16420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-509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61173,0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40588,0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77211,86</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-61121,0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- 674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--28226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-496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8 903,0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3"/>
          <w:p>
            <w:pPr>
              <w:spacing w:after="20"/>
              <w:ind w:left="20"/>
              <w:jc w:val="both"/>
            </w:pPr>
            <w:r>
              <w:rPr>
                <w:rFonts w:ascii="Times New Roman"/>
                <w:b w:val="false"/>
                <w:i w:val="false"/>
                <w:color w:val="000000"/>
                <w:sz w:val="20"/>
              </w:rPr>
              <w:t>
15</w:t>
            </w:r>
          </w:p>
          <w:bookmarkEnd w:id="153"/>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С.Кокдонен</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-992,0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- 612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--1410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-292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7583,0</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52563,58</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-41058,0 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- 1520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 --16006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-535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району Т.Рыскулова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600 067,35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466 666,0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422978,0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1383 465,0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783 397,0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783 397,0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313 359,0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470 038,0</w:t>
            </w:r>
          </w:p>
        </w:tc>
      </w:tr>
    </w:tbl>
    <w:bookmarkStart w:name="z329" w:id="154"/>
    <w:p>
      <w:pPr>
        <w:spacing w:after="0"/>
        <w:ind w:left="0"/>
        <w:jc w:val="left"/>
      </w:pPr>
      <w:r>
        <w:rPr>
          <w:rFonts w:ascii="Times New Roman"/>
          <w:b/>
          <w:i w:val="false"/>
          <w:color w:val="000000"/>
        </w:rPr>
        <w:t xml:space="preserve"> Особенности выпаса сельскохозяйственных животных на культурных и аридных пастбищах по району Т. Рыскулова</w:t>
      </w:r>
    </w:p>
    <w:bookmarkEnd w:id="154"/>
    <w:bookmarkStart w:name="z330" w:id="155"/>
    <w:p>
      <w:pPr>
        <w:spacing w:after="0"/>
        <w:ind w:left="0"/>
        <w:jc w:val="both"/>
      </w:pPr>
      <w:r>
        <w:rPr>
          <w:rFonts w:ascii="Times New Roman"/>
          <w:b w:val="false"/>
          <w:i w:val="false"/>
          <w:color w:val="000000"/>
          <w:sz w:val="28"/>
        </w:rPr>
        <w:t>
      Не смотря на то, что его основная часть составляет равнинную землю, природа района Т. Рыскулова обособлена своим разнообразием. Южная часть района является горной. Там расположены горы Ойранды, Каракыстак, Сулутор, Шонгер, Кокдонен, Когершин, Мынбель</w:t>
      </w:r>
    </w:p>
    <w:bookmarkEnd w:id="155"/>
    <w:bookmarkStart w:name="z331" w:id="156"/>
    <w:p>
      <w:pPr>
        <w:spacing w:after="0"/>
        <w:ind w:left="0"/>
        <w:jc w:val="both"/>
      </w:pPr>
      <w:r>
        <w:rPr>
          <w:rFonts w:ascii="Times New Roman"/>
          <w:b w:val="false"/>
          <w:i w:val="false"/>
          <w:color w:val="000000"/>
          <w:sz w:val="28"/>
        </w:rPr>
        <w:t>
      Центральную и северную часть района составляет равнина. На севере граничит песками Мойынкум. Подводные воды строительные материалы были исследованы на недрах. Климат района континентальный, зима несколько мягкое, лето жаркое. Средняя температура воздуха января месяца составляет -6-8 С, соответственно июль +20 С- +25 С. Годовая площадь дождя в равнинных землях составляет до 200-250 миллиметров, в горнях местностях и в горях до 450-500 миллиметров. Почва темноватый и голо-серого цвета, порпурный, темно-коричневый и черноземная почва.</w:t>
      </w:r>
    </w:p>
    <w:bookmarkEnd w:id="156"/>
    <w:bookmarkStart w:name="z332" w:id="157"/>
    <w:p>
      <w:pPr>
        <w:spacing w:after="0"/>
        <w:ind w:left="0"/>
        <w:jc w:val="left"/>
      </w:pPr>
      <w:r>
        <w:rPr>
          <w:rFonts w:ascii="Times New Roman"/>
          <w:b/>
          <w:i w:val="false"/>
          <w:color w:val="000000"/>
        </w:rPr>
        <w:t xml:space="preserve"> Сведений о сервитутах для прогона скота по району Т. Рыскулова</w:t>
      </w:r>
    </w:p>
    <w:bookmarkEnd w:id="157"/>
    <w:bookmarkStart w:name="z333" w:id="158"/>
    <w:p>
      <w:pPr>
        <w:spacing w:after="0"/>
        <w:ind w:left="0"/>
        <w:jc w:val="both"/>
      </w:pPr>
      <w:r>
        <w:rPr>
          <w:rFonts w:ascii="Times New Roman"/>
          <w:b w:val="false"/>
          <w:i w:val="false"/>
          <w:color w:val="000000"/>
          <w:sz w:val="28"/>
        </w:rPr>
        <w:t>
      По Рыскуловскому району земли предназначенные для прогона и переселения сельскохозяйственных животных закреплено всего 11 земельных участков. Общая площадь которых составляет 7536 гектаров, из них:</w:t>
      </w:r>
    </w:p>
    <w:bookmarkEnd w:id="158"/>
    <w:bookmarkStart w:name="z334" w:id="159"/>
    <w:p>
      <w:pPr>
        <w:spacing w:after="0"/>
        <w:ind w:left="0"/>
        <w:jc w:val="both"/>
      </w:pPr>
      <w:r>
        <w:rPr>
          <w:rFonts w:ascii="Times New Roman"/>
          <w:b w:val="false"/>
          <w:i w:val="false"/>
          <w:color w:val="000000"/>
          <w:sz w:val="28"/>
        </w:rPr>
        <w:t>
      Скотопрогон "Каракыстак" – 657 гектар,</w:t>
      </w:r>
    </w:p>
    <w:bookmarkEnd w:id="159"/>
    <w:bookmarkStart w:name="z335" w:id="160"/>
    <w:p>
      <w:pPr>
        <w:spacing w:after="0"/>
        <w:ind w:left="0"/>
        <w:jc w:val="both"/>
      </w:pPr>
      <w:r>
        <w:rPr>
          <w:rFonts w:ascii="Times New Roman"/>
          <w:b w:val="false"/>
          <w:i w:val="false"/>
          <w:color w:val="000000"/>
          <w:sz w:val="28"/>
        </w:rPr>
        <w:t xml:space="preserve">
      Скотопрогон "Кулан" – 81 гектар, </w:t>
      </w:r>
    </w:p>
    <w:bookmarkEnd w:id="160"/>
    <w:bookmarkStart w:name="z336" w:id="161"/>
    <w:p>
      <w:pPr>
        <w:spacing w:after="0"/>
        <w:ind w:left="0"/>
        <w:jc w:val="both"/>
      </w:pPr>
      <w:r>
        <w:rPr>
          <w:rFonts w:ascii="Times New Roman"/>
          <w:b w:val="false"/>
          <w:i w:val="false"/>
          <w:color w:val="000000"/>
          <w:sz w:val="28"/>
        </w:rPr>
        <w:t xml:space="preserve">
      Скотопрогон "Корагаты" – 309 гектар, </w:t>
      </w:r>
    </w:p>
    <w:bookmarkEnd w:id="161"/>
    <w:bookmarkStart w:name="z337" w:id="162"/>
    <w:p>
      <w:pPr>
        <w:spacing w:after="0"/>
        <w:ind w:left="0"/>
        <w:jc w:val="both"/>
      </w:pPr>
      <w:r>
        <w:rPr>
          <w:rFonts w:ascii="Times New Roman"/>
          <w:b w:val="false"/>
          <w:i w:val="false"/>
          <w:color w:val="000000"/>
          <w:sz w:val="28"/>
        </w:rPr>
        <w:t xml:space="preserve">
      Скотопрогон "Акбулак" – 1373 гектар, </w:t>
      </w:r>
    </w:p>
    <w:bookmarkEnd w:id="162"/>
    <w:bookmarkStart w:name="z338" w:id="163"/>
    <w:p>
      <w:pPr>
        <w:spacing w:after="0"/>
        <w:ind w:left="0"/>
        <w:jc w:val="both"/>
      </w:pPr>
      <w:r>
        <w:rPr>
          <w:rFonts w:ascii="Times New Roman"/>
          <w:b w:val="false"/>
          <w:i w:val="false"/>
          <w:color w:val="000000"/>
          <w:sz w:val="28"/>
        </w:rPr>
        <w:t xml:space="preserve">
      Скотопрогон "Кокдонен" – 1638 гектар, </w:t>
      </w:r>
    </w:p>
    <w:bookmarkEnd w:id="163"/>
    <w:bookmarkStart w:name="z339" w:id="164"/>
    <w:p>
      <w:pPr>
        <w:spacing w:after="0"/>
        <w:ind w:left="0"/>
        <w:jc w:val="both"/>
      </w:pPr>
      <w:r>
        <w:rPr>
          <w:rFonts w:ascii="Times New Roman"/>
          <w:b w:val="false"/>
          <w:i w:val="false"/>
          <w:color w:val="000000"/>
          <w:sz w:val="28"/>
        </w:rPr>
        <w:t xml:space="preserve">
      Скотопрогон "Когершин" – 589 гектар, </w:t>
      </w:r>
    </w:p>
    <w:bookmarkEnd w:id="164"/>
    <w:bookmarkStart w:name="z340" w:id="165"/>
    <w:p>
      <w:pPr>
        <w:spacing w:after="0"/>
        <w:ind w:left="0"/>
        <w:jc w:val="both"/>
      </w:pPr>
      <w:r>
        <w:rPr>
          <w:rFonts w:ascii="Times New Roman"/>
          <w:b w:val="false"/>
          <w:i w:val="false"/>
          <w:color w:val="000000"/>
          <w:sz w:val="28"/>
        </w:rPr>
        <w:t>
      Скотопрогон "Кумарык" – 186 гектар.</w:t>
      </w:r>
    </w:p>
    <w:bookmarkEnd w:id="165"/>
    <w:bookmarkStart w:name="z341" w:id="166"/>
    <w:p>
      <w:pPr>
        <w:spacing w:after="0"/>
        <w:ind w:left="0"/>
        <w:jc w:val="both"/>
      </w:pPr>
      <w:r>
        <w:rPr>
          <w:rFonts w:ascii="Times New Roman"/>
          <w:b w:val="false"/>
          <w:i w:val="false"/>
          <w:color w:val="000000"/>
          <w:sz w:val="28"/>
        </w:rPr>
        <w:t xml:space="preserve">
      Скотопрогон "Новосель" – 292 гектар. </w:t>
      </w:r>
    </w:p>
    <w:bookmarkEnd w:id="166"/>
    <w:bookmarkStart w:name="z342" w:id="167"/>
    <w:p>
      <w:pPr>
        <w:spacing w:after="0"/>
        <w:ind w:left="0"/>
        <w:jc w:val="both"/>
      </w:pPr>
      <w:r>
        <w:rPr>
          <w:rFonts w:ascii="Times New Roman"/>
          <w:b w:val="false"/>
          <w:i w:val="false"/>
          <w:color w:val="000000"/>
          <w:sz w:val="28"/>
        </w:rPr>
        <w:t>
       Скотопрогон "Орнек" – 1519 гектар.</w:t>
      </w:r>
    </w:p>
    <w:bookmarkEnd w:id="167"/>
    <w:bookmarkStart w:name="z343" w:id="168"/>
    <w:p>
      <w:pPr>
        <w:spacing w:after="0"/>
        <w:ind w:left="0"/>
        <w:jc w:val="both"/>
      </w:pPr>
      <w:r>
        <w:rPr>
          <w:rFonts w:ascii="Times New Roman"/>
          <w:b w:val="false"/>
          <w:i w:val="false"/>
          <w:color w:val="000000"/>
          <w:sz w:val="28"/>
        </w:rPr>
        <w:t>
      Скотопрогон "Теренозек" – 658 гектар.</w:t>
      </w:r>
    </w:p>
    <w:bookmarkEnd w:id="168"/>
    <w:bookmarkStart w:name="z344" w:id="169"/>
    <w:p>
      <w:pPr>
        <w:spacing w:after="0"/>
        <w:ind w:left="0"/>
        <w:jc w:val="both"/>
      </w:pPr>
      <w:r>
        <w:rPr>
          <w:rFonts w:ascii="Times New Roman"/>
          <w:b w:val="false"/>
          <w:i w:val="false"/>
          <w:color w:val="000000"/>
          <w:sz w:val="28"/>
        </w:rPr>
        <w:t>
       Скотопрогон "Кайынды" – 234 гектар.</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