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7dc2" w14:textId="6287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социальный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25 сентября 2017 года № 17-2. Зарегистрировано Департаментом юстиции Жамбылской области 27 сентября 2017 года № 3536. Утратило силу решением Жамбылского районного маслихата Жамбылской области от 25 июня 2020 года № 64-4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64-4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из месного бюджета в размере четырехмесячного расчетного показателя.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с изменениями, внесенным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Жамбылского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Жамбылской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 26-3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</w:t>
      </w:r>
      <w:r>
        <w:rPr>
          <w:rFonts w:ascii="Times New Roman"/>
          <w:b w:val="false"/>
          <w:i/>
          <w:color w:val="000000"/>
          <w:sz w:val="28"/>
        </w:rPr>
        <w:t>по истечении 10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офециального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