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ab49" w14:textId="84ba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Балхашского района Алматинской области 17 марта 2017 года № 33. Зарегистрировано Департаментом юстиции Алматинской области 6 апреля 2017 года № 4175. Утратило силу постановлением акимата Балхашского района Алматинской области от 17 мая 2024 года № 137</w:t>
      </w:r>
    </w:p>
    <w:p>
      <w:pPr>
        <w:spacing w:after="0"/>
        <w:ind w:left="0"/>
        <w:jc w:val="both"/>
      </w:pPr>
      <w:r>
        <w:rPr>
          <w:rFonts w:ascii="Times New Roman"/>
          <w:b w:val="false"/>
          <w:i w:val="false"/>
          <w:color w:val="ff0000"/>
          <w:sz w:val="28"/>
        </w:rPr>
        <w:t xml:space="preserve">
      Сноска. Утратило силу постановлением акимата Балхашского района Алматинской области от 17.05.2024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от 06 апреля 2016 года "О занятости населения"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Балхашского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для организаций независимо от организационно - правовой формы и формы собственности в размере трех процентов от списочной численности работников организации. </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Смагулова Сайрана Сейткемелулы.</w:t>
      </w:r>
    </w:p>
    <w:bookmarkEnd w:id="2"/>
    <w:bookmarkStart w:name="z8"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Токпеисов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