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0cfa" w14:textId="51d0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 июля 2015 года № 243 "Об утверждении регламентов государственных услуг в области животного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июня 2017 года № 195 Зарегистрировано Департаментом юстиции Актюбинской области 10 июля 2017 года № 5590. Утратило силу постановлением акимата Актюбинской области от 17 января 2020 года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мира", зарегистрированного в Реестре государственной регистрации нормативных правовых актов № 11774,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июля 2015 года № 243 "Об утверждении регламентов государственных услуг в области животного мира" (зарегистрированное в Реестре государственной регистрации нормативных правовых актов № 4447, опубликованное 10 августа 2015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Джумагазиева М.С.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июня 2017 года № 195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 июля 2015 года № 243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результата оказания государственной услуги осуществляется через канцелярию услугодателя.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услуги–постановление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хозяйства, постановление акимата района по закреплению рыбохозяйственных водоемов и (или) участков местного значения (далее – постановление).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предоставление услугополучателем (либо его представителем по доверенности)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(далее – Cтандарт).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документы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–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ответственному исполнителю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3 (трех) рабочих дней подготавливает проект постановления акимата области или района и предоставляет руководителю услугодателя для ознакомления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ознакамливается с проектом постановления и направляет в канцелярию местного исполнительного органа (далее – МИО) для подписания постановления акимом области или района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МИО предоставляет проект постановления акиму области или района на подписание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 области или района рассматривает и подписывает представленный проект постановления и направляет сотруднику канцелярии МИО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МИО направляет постановление ответственному исполнителю услугодателя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выдает постановление услугополучателю (либо его представителю по доверенности).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области и акимы районов.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–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ответственному исполнителю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3 (трех) рабочих дней подготавливает проект постановления акимата области или района и предоставляет руководителю услугодателя для ознакомления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ознакамливается с проектом постановления и направляет в канцелярию местного исполнительного органа (далее – МИО) для подписания постановления акимом области или района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МИО предоставляет проект постановления акиму области или района на подписание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 области или района рассматривает и подписывает представленный проект постановления и направляет сотруднику канцелярии МИО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МИО направляет постановление ответственному исполнителю услугодателя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выдает постановление услугополучателю (либо его представителю по доверенности).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в интернет – ресурсе услугодателя.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некоммерческого акционерного общества "Государственная корпорация "Правительство для граждан" по Актюбинской области и веб-портал "электронного правительства" не оказывается.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услугодателями: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государственного органа осуществляющие функции по оказанию государственных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Актобе, пр.Абилкайыр хана, дом 40, здание областного акимата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/7132/ 55-09-30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Актобе"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Т.Ахтанова, дом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/7132/ 21-96-77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район, город Алга, 5 микрорайон, дом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/71337/ 42-6-39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район, село Комсомол, улица Т.Жургенева, дом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/71339/ 22-5-12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предпринимательства и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село Карауылкелды, улица Д.Кунаева, дом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/71345/ 22-3-57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село Иргиз, улица Ы.Алтынсарина, дом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/71343/ 21-4-32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 и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район, село Бадамша, улица Абилкайыр хана, дом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/71342/ 22-0-11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"Мартукский районный отдел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район, село Мартук, улица С.Сейфуллина, дом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/71331/ 21-8-44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район, город Кандыагаш, микрорайон Молодежный, дом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/71333/ 3-48-47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район, Шубаркудукский сельский округ, улица Желтоксан, дом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/71346/ 2-24-91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предпринимательства и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район, село Уил, улица Кокжар, дом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/71339/21-7-46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район, село Кобда, улица Астана, дом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/71341/ 21-1-01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район, город Хромтау, улица Спортивная, дом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/71336/ 21-7-15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"Шалкарский районный отдел сельского хозяйства и ветеринарии"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город Шалкар, улица Айтеке, дом 47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/71335/ 24-4-96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