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f593" w14:textId="9cef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марта 2017 года № С-10/2. Зарегистрировано Департаментом юстиции Акмолинской области 7 апреля 2017 года № 5871. Утратило силу решением маслихата района Биржан сал Акмолинской области от 5 марта 2024 года № 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05.03.2024 </w:t>
      </w:r>
      <w:r>
        <w:rPr>
          <w:rFonts w:ascii="Times New Roman"/>
          <w:b w:val="false"/>
          <w:i w:val="false"/>
          <w:color w:val="ff0000"/>
          <w:sz w:val="28"/>
        </w:rPr>
        <w:t>№ 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С-22/11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маслихат района Биржан сал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С-22/11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порядок возмещения затрат на обучение на дому детей с ограниченными возможностями из числа инвалидов: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возмещения затрат на обучение на дому детей с ограниченными возможностями из числа инвалидов по индивидуальному учебному плану – ежемесячно на каждого ребенка два месячных расчетных показателя.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22 октября 2014 года № С-32/4 "Об определении порядка и размера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4447, опубликовано 27 ноября 2014 года в районной газете "Жаңа дәуір" - "Сельская новь").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О.Ганеева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марта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