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041a" w14:textId="8b00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"Аршалынский районный маслихат"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14 марта 2017 года № 13/8. Зарегистрировано Департаментом юстиции Акмолинской области 14 апреля 2017 года № 5884. Утратило силу решением Аршалынского районного маслихата Акмолинской области от 15 марта 2018 года № 23/11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 14637),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"Аршалынский районный маслихат".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Т.Тналина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</w:t>
      </w:r>
      <w:r>
        <w:br/>
      </w:r>
      <w:r>
        <w:rPr>
          <w:rFonts w:ascii="Times New Roman"/>
          <w:b/>
          <w:i w:val="false"/>
          <w:color w:val="000000"/>
        </w:rPr>
        <w:t>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"Аршалынский районный маслихат"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"Аршалынский районный маслихат" (далее – аппарат районного маслихата)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(зарегистрировано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организационный отдел аппарата районного маслихата.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районного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аппарата районного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по оценке.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районного маслихата, в должностные обязанности которого входит ведение кадровой работы,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районного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районного маслихата, непосредственного руководителя и обращений физических и юридических лиц.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аппарата районного маслихата, в должностные обязанности которого входит ведение кадровой работы и непосредственного руководителя служащего корпуса "Б".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аппарата районного маслихата, в должностные обязанности которого входит ведение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кв. =100 + а – 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 кв.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аппарата районного маслихата, в должностные обязанности которого входит ведение кадровой работы не позднее пяти рабочих дней до заседания Комиссии по оценке по следующей формуле: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год = 0,4* ∑ кв. + 0,6* ∑ 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 год –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ИП – оценка выполнения индивидуального плана работы (среднеарифметическое значение).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аппарата районного маслихата, в должностные обязанности которого входит ведение кадровой работы,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районного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аппарата районного маслихата, в должностные обязанности которого входит ведение кадровой работы, в произвольной форме составляется акт об отказе от ознакомления.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 Обжалование результатов оценки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районного маслихата отменить решение Комиссии.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районного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