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9f1c" w14:textId="712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ГУ "Ревизионная комиссия по городу Астане" от 26 мая 2017 года № 9-Қ. Зарегистрировано Департаментом юстиции города Астаны 23 июня 2017 года № 1111. Утратило силу постановлением государственного учреждения "Ревизионная комиссия по городу Астане" от 16 марта 2018 года № 5-Қ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государственного учреждения "Ревизионная комиссия по городу Астане" от 16.03.2018 </w:t>
      </w:r>
      <w:r>
        <w:rPr>
          <w:rFonts w:ascii="Times New Roman"/>
          <w:b w:val="false"/>
          <w:i w:val="false"/>
          <w:color w:val="ff0000"/>
          <w:sz w:val="28"/>
        </w:rPr>
        <w:t>№ 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Ревизионная комиссия по городу Астане,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городу Астане".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контроля качества и правового обеспечения государственного учреждения "Ревизионная комиссия по городу Астане" обеспечить государственную регистрацию настоящего постановления в территориальном органе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городу Астане" Амангельдинова С.К.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Молдаш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года № 9-Қ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"Ревизионная комиссия по городу Астане"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городу Астане" (далее – служащие корпуса "Б").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2.Оценка деятельности служащих корпуса "Б" (далее – оценка) проводится для определения эффективности и качества их работы.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результатам деятельности служащего корпуса "Б" государственного учреждения "Ревизионная комиссия по городу Астане" (далее – Ревизионная комиссия)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8.Решение Комиссии по оценке принимается открытым голосованием.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Служба управления персоналом формирует график проведения оценки по согласованию с председателем Комиссии по оценке.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руководителя,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документальное подтвержденные сведения от службы документаоборота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∑кв=100+а - в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– квартальная оценка;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 от 80 до 105 (включительно) баллов – "удовлетворительно"; от 106 до 130 (включительно) баллов – "эффективно";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31.После согласования непосредственным руководителем оценочный лист заверяется служащим корпуса "Б".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год.=0,4*∑кв.+0,6*∑ИП,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год. – годовая оценка;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 значению "превосходно" (свыше 130 баллов) – 5 баллов;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– "превосходно". 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проведения оценки рекомендует государственному органу отменить решение Комиссии.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Информация о принятом решении представляется государственному органу в течение двух недель в уполномоченный орган по делам государственной службы или его территориальный департамент.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Служащий корпуса "Б" вправе обжаловать результаты оценки в суде. 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(период, на который составляется индивидуальный план)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служащего (при его наличии)) 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4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период) 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4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6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(оцениваемый год) 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(вид оценки: квартальная/годовая и оцениваемый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(квартал и (или) год) 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 Дата: _____________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_____________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Дата:______________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