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300c" w14:textId="3c63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256. Зарегистрировано в Министерстве юстиции Республики Казахстан 19 января 2018 года № 16255.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 (зарегистрированное в Реестре государственной регистрации нормативных правовых актов под № 13939, опубликованное 22 июля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 для исламских банков,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Открытая валютная позиция - это превышение требований (обязательств) банка в валюте отдельного иностранного государства (группы иностранных государств) или аффинированном драгоценном металле над обязательствами (требованиями) банка в той же иностранной валюте или аффинированном драгоценном металле.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Длинная валютная позиция - это открытая валютная позиция в валюте отдельного иностранного государства (группы иностранных государств) или аффинированном драгоценном металле, требования (совокупная сумма активов и условных требований) в которой превышают обязательства (совокупную сумму обязательств и условных обязательств) банка в этой же иностранной валюте или аффинированном драгоценном металле.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Короткая валютная позиция - это открытая валютная позиция в валюте отдельного иностранного государства (группы иностранных государств) или аффинированном драгоценном металле, обязательства (совокупная сумма обязательств и условных обязательств) в которой превышают требования (совокупную сумму активов и условных требований) банка в этой же иностранной валюте или аффинированном драгоценном металле.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валютных позиций включаются требования (совокупная сумма активов и условных требований), обязательства (совокупная сумма обязательств и условных обязательств), выраженные в тенге, размер которых определяется изменением обменного курса валют (стоимости аффинированных драгоценных металлов).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(совокупная сумма активов, условных и возможных требований), обязательства (совокупная сумма обязательств, условных и возможных обязательств), выраженные в тенге, размер которых определяется изменением обменного курса более чем одной иностранной валюты, включаются в расчет валютных позиций по иностранной валюте, имеющей наименьший лимит открытой валютной позиции,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иностранной валюте и по каждому аффинированному драгоценному металлу открытая валютная позиция рассчитывается отдельно.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открытых валютных позиций по валютам отдельных иностранных государств (групп иностранных государств) (аффинированным драгоценным металлам) в первую очередь рассчитывается сальдо счетов по каждой иностранной валюте (аффинированному драгоценному металлу), открытых на счетах активов, за вычетом резервов, сформированных в соответствии с МСФО, и на счетах обязательств банка.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определяется сальдо счетов по этой же иностранной валюте (аффинированному драгоценному металлу), открытых на счетах условных требований и на счетах условных обязательств, за вычетом сформированных в соответствии с МСФО резервов.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Сальдо, отражающее превышение требований (обязательств) в иностранной валюте (аффинированном драгоценном металле) над обязательствами (требованиями), взаимно суммируется, а полученный результат определяет размер и вид открытой позиции банка по иностранной валюте (аффинированному драгоценному металлу).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Открытая длинная и (или) короткая позиция банка по производным финансовым инструментам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обязательств, не превышают 30 (тридцати) процентов размера собственного капитала банка.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открытой длинной и (или) короткой позиции банка в перечень производных финансовых инструментов не включаются спот сделки заключенные банками.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открытой длинной и (или) короткой позиции банка по производным финансовым инструментам не включаются сделки с производными финансовыми инструментами, контрагентом по которым является Национальный Банк Республики Казахстан, обменные операции с валютными инструментами с датой валютирования 2 (два) дня и менее, операции валютный своп с датой валютирования 2 (два) дня и менее, производные финансовые инструменты, базовым активом которых является валютная пара, не содержащая национальную валюту.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Валютная нетто-позиция банка рассчитывается как разница между совокупной суммой длинных позиций банка по всем иностранным валютам (аффинированным драгоценным металлам) и совокупной суммой коротких позиций по всем иностранным валютам (аффинированным драгоценным металлам).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обязательства, выраженные в иностранной валюте, включаются в расчет валютной позиции в части иностранных валют, в которых данные требования и обязательства выражены (фиксированы).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валютных операций, содержащих будущую дату валютирования, не являющуюся датой заключения сделки, подобные валютные операции включаются в расчет валютной позиции, начиная с даты заключения такой сделки.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Сравнение сроков активов и обязательств производится в соответствии с Таблицей сравнения сроков активов и обязательств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Сравнение сроков активов и обязательств в иностранной и национальной валютах производится в соответствии с Таблицей сравнения сроков активов и обязательств в иностранной валюте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Таблице сравнения сроков активов и обязательств в национальной валюте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соответственно.";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 (далее - постановление № 203);";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203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обязательства перед нерезидентами Республики Казахстан, являющимися международными организациями, членом которых является Республика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Инвестиций", а также Евразийским банком развития;";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203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перед нерезидентами Республики Казахстан, являющимися международными организациями, членом которых является Республика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Инвестиций", а также Евразийским банком развития;".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января  2018 года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