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141" w14:textId="bfa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28 ноября 2015 года № 13-НҚ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28 декабря 2017 года № 12-НҚ. Зарегистрирован в Министерстве юстиции Республики Казахстан 17 января 2018 года № 16237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13-НҚ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аудита" (зарегистрировано в Министерстве юстиции Республики Казахстан 23 декабря 2015 года № 12476, опубликовано 5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аудита, утвержденной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направлениям расходов администратора бюджетной программы в соответствии с целями, целевыми индикаторами, определенными в стратегическом плане и программе развития территории, а также полномочиями, определенными в положении о государственном органе.";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Группировка бюджетных программ по направлениям расходов администратора бюджетной программы в соответствии с целями, целевыми индикаторами, определенными в стратегическом плане и программе развития территории, а также полномочиями, определенными в положении о государственном органе осуществляется структурным подразделением, ответственным за планирование.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Сводное значение оценки рисков по бюджетным программам (Rbp) сгруппированных по направлениям расходов администратора бюджетной программы в соответствии с целями, целевыми индикаторами, определенными в стратегическом плане и программе развития территории, а также полномочиями, определенными в положении о государственном органе направляется членам органа внешнего государственного аудита, для принятия решения о необходимости проведения государственного аудита в государственном органе по соответствующей функциональной направленности расходования средств бюджета.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рисков по доходной части бюджета осуществляется по: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налоговым поступлениям: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по уполномоченным органам, ответственным за взимание поступлений и других платежей в республиканский бюджет, и их территориальным (областным) подразделениям;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по уполномоченным органам, ответственным за взимание поступлений и других платежей в местный бюджет, и их территориальным (районным) подразделениям;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неналоговым поступлениям и поступлениям от продажи основного капитала согласно с классификацией поступлений.";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поступления в бюджет (неналоговые поступления и поступления от продажи основного капитала) согласно классификации поступлений;";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поступления в бюджет (неналоговые поступления и поступления от продажи основного капитала) согласно классификации поступлений;";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По результатам оценки рисков объекты и предметы государственного аудита относятся к одной из трех степеней риска: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высокой степени риска;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риска;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минимальной степени риска.";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Эталонный контрольный банк нормативных правовых актов Республики Казахстан;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критериев оценки рисков по объектам и предметам государственного аудита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Расчет пороговых уровней критериев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Пороговые уровни делятся на две категории: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объективный пороговый уровень (P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 [1], рассчитывается на основе исторических данных (динамического ряда) по критериям по формуле двойного стандартного отклонения [2]: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4257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279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переменной (значения критерия);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переменной (критерия);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год;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лет.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нормативный (экспертный) пороговый уровень (Pe), определяемый на основании нормативных требований и/или экспертного мнения. Значения нормативных (экспертных) пороговых значений приведены перечнях объектов аудита.</w:t>
      </w:r>
    </w:p>
    <w:bookmarkEnd w:id="37"/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влияния критериев на уровень риска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определении влияния критериев на уровень рисков рассчитывается показатель "под риск" методом стохастического моделирования Монте-Карло. Входные данные для расчета показателя под риском принимаются следующие значения: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показателя (ущерб),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показателя (ущерб).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показателя (ущерб) рассчитывается по следующей формуле [3]: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4559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965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массив значений переменных (динамический ряд) по критерию, без учета последнего значения критерия;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79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показателя (ущерб) рассчитывается по формуле согласно пункту 1 настоящей Методики. При этом стандартное отклонение показателя (ущерб) определяется в процентах путем умножения полученного значения на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Следующим этапом является расчет показателя "под риском" (R</w:t>
      </w:r>
      <w:r>
        <w:rPr>
          <w:rFonts w:ascii="Times New Roman"/>
          <w:b w:val="false"/>
          <w:i w:val="false"/>
          <w:color w:val="000000"/>
          <w:vertAlign w:val="subscript"/>
        </w:rPr>
        <w:t>ar</w:t>
      </w:r>
      <w:r>
        <w:rPr>
          <w:rFonts w:ascii="Times New Roman"/>
          <w:b w:val="false"/>
          <w:i w:val="false"/>
          <w:color w:val="000000"/>
          <w:sz w:val="28"/>
        </w:rPr>
        <w:t>) методом стохастического моделирования Монте-Карло, которое рассчитывается с применением функции MS Excel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персентиль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следующей формуле [4]: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3060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35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массив показателей симуляции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(95%) доверительный интервал, который подразумевает, что с вероятностью на 95 % значение критерия не превысит расчетный показатель под риск;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симуляция показателей ущерба, рассчитываемая за каждый период динамического ряда по формуле [5]: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162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норм.ст.обр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функция MS Excel, которая возвращает обратное значение стандартного нормального распределения. Это распределение имеет среднее, равное нулю, и стандартное отклонение, равное единице;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случайная величина определенного периода динамического ряда, рассчитываемая по функции случайных чисел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слчис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слчис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функция MS Excel, возвращает равномерно распределенное случайное вещественное число, которое большее или равно 0 и меньше 1. Новое случайное вещественное число возвращается при каждом вычислении листа.</w:t>
      </w:r>
    </w:p>
    <w:bookmarkEnd w:id="52"/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Расчет вероятности наступления рисков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учетом порогового уровня и количества наблюдений осуществляется оценка вероятности наступления рисков (V), которая рассчитывается по формуле [6]: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кол-во случаев превышения исходных показателей над объективным пороговым уровнем (P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 в динамическом ряде * 100 / кол-во лет динамического ряда [6], где: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объективный пороговый уровень последнего периода динамического ряда.</w:t>
      </w:r>
    </w:p>
    <w:bookmarkEnd w:id="56"/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результатов расчета критериев 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расчета критериев (R) определяется по формуле [7]: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435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 отклонения от объективного порогового уровня (P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), рассчитывается по формуле [8]: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743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ожидаемое влияние, определяемое путем умножения вероятности наступления рисков (V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на показатель под риском (СFaR).,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54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удельный вес значимости выбранного критерия из общего перечня критериев по определенной группе объектов (предметов) аудита, определяется экспертным методом в процентном соотношении, при этом удельные веса значимости по группе объектов (предметов) аудита в суммарном выражении должны быть равны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исходных данных по какому-либо из критериев, удельный вес данного критерия распределяется по другим критериям в равных долях.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Итоговый результат расчета рисков (R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 объекту (предмету) государственного аудита определяется путем сложения результатов расчета критериев по следующей формуле [9]: 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7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 </w:t>
      </w:r>
      <w:r>
        <w:br/>
      </w:r>
      <w:r>
        <w:rPr>
          <w:rFonts w:ascii="Times New Roman"/>
          <w:b/>
          <w:i w:val="false"/>
          <w:color w:val="000000"/>
        </w:rPr>
        <w:t>по бюджетным программам, финансируемым из республиканского бюджета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5631"/>
        <w:gridCol w:w="1175"/>
        <w:gridCol w:w="381"/>
        <w:gridCol w:w="1254"/>
        <w:gridCol w:w="2527"/>
      </w:tblGrid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0"/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показателей прямого результата от общего количества показателей прямого результата бюджетных программ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показателей конечного результата от общего количества показателей конечного результата бюджетных программ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недостигнутых показателей прямого результата бюджетных программ, не достигших значений, предусмотренных в первоначально утвержденных бюджетных программах, от общего их количества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недостигнутых показателей конечного результата бюджетных программ, не достигших значений, предусмотренных в первоначально утвержденных бюджетных программах, от общего их количества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корректировке показателей прямого результата от общего количества, первоначально утвержденных показателей прямого результата бюджетных программ в ходе исполнения бюджета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корректировке показателей конечного результата от общего количества, первоначально утвержденных показателей конечного результата бюджетных программ в ходе исполнения бюджета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бюджетную программу в течение финансового года в ходе исполнения бюджета (количество)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программным документам (государственным и правительственным программам, стратегическим планам государственных органов)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5278"/>
        <w:gridCol w:w="1326"/>
        <w:gridCol w:w="430"/>
        <w:gridCol w:w="1415"/>
        <w:gridCol w:w="2851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2"/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Средневзвешенный показатель степени отклонения значений критериев отбора бюджетных программ, реализуемых в рамках данного программного документа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недостижения целевых индикаторов программного документа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целевых индикаторов, не достигших значений, предусмотренных в первоначально утвержденном программном документе, от общего их количества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изменению целевых индикаторов в ходе реализации программного документа от общего количества первоначально утвержденных целевых индикаторов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Плана мероприятий программного документа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несвоевременно реализуемых бюджетных инвестиционных проектов в рамках программного документа от их общего количества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программный документ в течение периода его реализации (количество)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1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 xml:space="preserve"> по государственным органам, их подведомственным учреждениям </w:t>
      </w:r>
    </w:p>
    <w:bookmarkEnd w:id="91"/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(расходная часть)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6394"/>
        <w:gridCol w:w="1041"/>
        <w:gridCol w:w="337"/>
        <w:gridCol w:w="1111"/>
        <w:gridCol w:w="2238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3"/>
        </w:tc>
        <w:tc>
          <w:tcPr>
            <w:tcW w:w="6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государственным аудитом от общего объема бюджетных средств, выделенных объекту государственного аудита за проверенный период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выявленных финансовых нарушений, подлежащая возмещению в бюджет от общей суммы выявленных нарушений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неисполненных поручений органа государственного аудита от общего количества поручений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учреждения от общего объема республиканского бюджета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трансфертов на развитие от общего объема целевых трансфертов на развитие республиканского бюджета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текущих трансфертов от общего объема целевых текущих трансфертов республиканского бюджета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годом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2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года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перераспределенных (скорректированных) средств администратором бюджетной программы в ходе исполнения бюджета от общего утвержденного объема расходов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дебиторской задолженности по сравнению с прошлым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кредиторской задолженности по сравнению с прошлым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несвоевременно реализуемых бюджетных инвестиционных проектов от общего утвержденного количества бюджетных инвестиционных проектов, реализуемых данным государственным органом, за отчетный период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7"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перераспределению (корректировке) бюджетных инвестиционных проектов в ходе исполнения бюджета от общего утвержденного количества бюджетных инвестиционных проектов, реализуемых данным государственным органом, за отчетный период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14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органам, осуществляющим деятельность по обеспечению полноты и своевременности поступлений в бюджет (налоговые поступления)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5167"/>
        <w:gridCol w:w="1522"/>
        <w:gridCol w:w="493"/>
        <w:gridCol w:w="1624"/>
        <w:gridCol w:w="2346"/>
      </w:tblGrid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5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неисполненных поручений органа государственного аудита от общего количества поручений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доли задолженности в республиканский бюджет от общего объема поступлений по сравнению с предыдущим отчетным периодом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недоимки по налогам, таможенным платежам по сравнению с предыдущим отчетным периодом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недоимки к общей сумме поступлений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поступлений по доходам в республиканский бюджет по сравнению с аналогичным периодом прошлого года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взысканий доначисленных сумм по актам налоговых проверок по сравнению с аналогичным периодом прошлого года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неналоговых поступлений в республиканский бюджет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1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полноты и своевременности поступлений в бюджет (неналоговые поступления и поступления от продажи основного капитала) в соответствии с Единой бюджетной классификацией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4006"/>
        <w:gridCol w:w="1566"/>
        <w:gridCol w:w="508"/>
        <w:gridCol w:w="1671"/>
        <w:gridCol w:w="3367"/>
      </w:tblGrid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9"/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отдельных поступлений в республиканский бюджет по сравнению с предыдущим отчетным периодом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достижения планового показателя по поступлениям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показателей доходной части утвержденного бюджета от скорректированного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16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 xml:space="preserve"> по регионам (областям, городу республиканского значения, столице)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984"/>
        <w:gridCol w:w="1004"/>
        <w:gridCol w:w="325"/>
        <w:gridCol w:w="1071"/>
        <w:gridCol w:w="2159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6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государственным аудитом от общего объема бюджетных средств республиканского бюджета, выделенных за последние два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неосвоенных средств по бюджетным программам развития, выделенных из республиканского бюджета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(для местных исполнительных органов)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трансфертов, выделенных из республиканского бюджета на развитие от общего объема расходов местного бюджета на развитие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софинансирования из местного бюджета по местным бюджетным инвестиционным проектам, финансируемых за счет целевых трансфертов на развитие из республиканского бюджета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перераспределению (корректировке) местных бюджетных инвестиционных проектов в ходе исполнения бюджета от общего утвержденного количества местных бюджетных инвестиционных проектов, реализуемых местным исполнительным органом за счет целевых трансфертов на развитие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17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 </w:t>
      </w:r>
      <w:r>
        <w:br/>
      </w:r>
      <w:r>
        <w:rPr>
          <w:rFonts w:ascii="Times New Roman"/>
          <w:b/>
          <w:i w:val="false"/>
          <w:color w:val="000000"/>
        </w:rPr>
        <w:t>по бюджетным программам, финансируемым из местного бюджета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5631"/>
        <w:gridCol w:w="1175"/>
        <w:gridCol w:w="381"/>
        <w:gridCol w:w="1254"/>
        <w:gridCol w:w="2527"/>
      </w:tblGrid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показателей прямого результата от общего количества показателей прямого результата бюджетных программ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показателей конечного результата от общего количества показателей конечного результата бюджетных программ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недостигнутых показателей прямого результата бюджетных программ, не достигших значений, предусмотренных в первоначально утвержденных бюджетных программах, от общего их количества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недостигнутых показателей конечного результата бюджетных программ, не достигших значений, предусмотренных в первоначально утвержденных бюджетных программах, от общего их количества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корректировке показателей прямого результата от общего количества, первоначально утвержденных показателей прямого результата бюджетных программ в ходе исполнения бюджета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корректировке показателей конечного результата от общего количества, первоначально утвержденных показателей конечного результата бюджетных программ в ходе исполнения бюджета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бюджетную программу в течение финансового года в ходе исполнения бюджета (количество)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18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 xml:space="preserve"> по Программам развития территорий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5120"/>
        <w:gridCol w:w="1356"/>
        <w:gridCol w:w="439"/>
        <w:gridCol w:w="1447"/>
        <w:gridCol w:w="2915"/>
      </w:tblGrid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5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недостижения целевых индикаторов программного документа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целевых индикаторов, не достигших значений, предусмотренных в первоначально утвержденном программном документе, от общего количества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изменению целевых индикаторов в ходе реализации программного документа от общего количества первоначально утвержденных целевых индикаторов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2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Плана мероприятий программного документа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несвоевременно реализуемых бюджетных инвестиционных проектов в рамках программного документа от их общего количества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программный документ в течение периода его реализации (количество)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0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 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органам (учреждениям), их подведомственным учреждениям (расходная часть)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6946"/>
        <w:gridCol w:w="943"/>
        <w:gridCol w:w="306"/>
        <w:gridCol w:w="1007"/>
        <w:gridCol w:w="2029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6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государственным аудитом от общего объема бюджетных средств, выделенных объекту государственного аудита за проверенный период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выявленных финансовых нарушений, подлежащая возмещению в бюджет от общей суммы выявленных нарушений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неисполненных поручений органа государственного аудита от общего количества поручений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учреждения от общего объема соответствующего бюджета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трансфертов на развитие от общего объема целевых трансфертов на развитие республиканского бюджета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текущих трансфертов от общего объема целевых текущих трансфертов республиканского бюджета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годом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5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года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перераспределенных (скорректированных) средств администратором бюджетной программы в ходе исполнения бюджета от общего утвержденного объема расходов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дебиторской задолженности по сравнению с прошлым периодом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кредиторской задолженности по сравнению с прошлым периодом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перераспределению (корректировке) местных бюджетных инвестиционных проектов в ходе исполнения бюджета от общего, первоначально утвержденного, количества местных бюджетных инвестиционных проектов, реализуемых данным местным исполнительным органом, за отчетный период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(для местных исполнительных органов)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2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полноты и своевременности поступлений в бюджет (неналоговые поступления и поступлениями от продажи основного капитала) в соответствии с Единой бюджетной классификацией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4006"/>
        <w:gridCol w:w="1566"/>
        <w:gridCol w:w="508"/>
        <w:gridCol w:w="1671"/>
        <w:gridCol w:w="3367"/>
      </w:tblGrid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2"/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отдельных поступлений в местный бюджет по сравнению с предыдущим отчетным периодом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достижения планового показателя по поступлениям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показателей доходной части утвержденного бюджета от скорректированного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