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3f1f" w14:textId="16a3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декабря 2017 года № 357. Зарегистрирован в Министерстве юстиции Республики Казахстан 9 января 2018 года № 16192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 (зарегистрированный в Реестре государственной регистрации нормативных правовых актов под № 9675, опубликованный в информационно-правовой системе "Әділет" 3 сентября 2014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спортивных званий, разрядов и квалификационных категорий,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Присвоение квалификационных категорий работнику проводится на основе анализа уровня его квалификации, профессиональной компетенции, участия в методической работе, при условии прохождения им курсов подготовки, переподготовки и повышения квалификации не реже одного раза в 5 лет.";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2), и 3)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званий, разрядов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квалификационных категорий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Лицевая сторона                               Оборотная сторона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Удостоверение изготавливается по следующим параметрам: размер удостоверение – 54х86,5 миллиметров. Текст оформляется шрифтом "Arial" (ариал) № 6 (жирный), за исключением фамилии, имени отчества (в случае наличия), оформляемых шрифтом "Arial" (ариал) № 13 (жирный).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