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3c27" w14:textId="4753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25 февраля 2015 года № 126 "Об утверждении Правил рассмотрения и отбора целевых трансфертов на развитие"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ноября 2017 года № 689. Зарегистрирован в Министерстве юстиции Республики Казахстан 26 декабря 2017 года № 16125.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2015 года № 126 "Об утверждении Правил рассмотрения и отбора целевых трансфертов на развитие" (зарегистрирован в Реестре государственной регистрации нормативных правовых актов за № 10593, опубликован 13 мая 2015 года в информационно-правовой системе "Әділет") следующие изменение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 отбора целевых трансфертов на развитие,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Целевые трансферты на развитие из республиканского бюджета выделяются бюджетам областей, городов республиканского значения, столицы в соответствии с целями, задачами, целевыми индикаторами и показателями результатов государственных программ при обеспеченности регионов инфраструктурой ниже среднереспубликанского уровня по определению центральных уполномоченных органов соответствующей отрасли.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из республиканского бюджета финансируются расходы на строительство, реконструкцию, расширение и модернизацию: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общеобразовательных школ взамен аварийных и подлежащих сносу, решающие проблему 3-х и более сменного обучения и дефицита ученических мест в селах и городах, с мощностью 300 мест и более;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многопрофильных и противотуберкулезных организаций с мощностью не менее 200 коек и поликлиники с мощностью не менее 250 посещений в смену, взамен аварийных и подлежащих сносу, создающие угрозу в ограничении доступности медицинской помощи;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 производства крови, ее компонентов и препаратов для местных организаций здравоохранения;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психоневрологические медико-социальные учреждения;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психоневрологические медико-социальные учреждения;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реабилитационные центры для инвалидов, центры реабилитации и адаптации детей-инвалидов;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автомобильных дорог областного значения;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жилья и инженерно-коммуникационной инфрастуктуры к жилью;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объектов, сооружений, сетей водоснабжения и водоотведения;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 городов республиканского значения, столицы;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подстанций мощностью выше 35/10/0,4 кВ;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теплоэлектроцентралей и котельных мощностью 100 Гкал/час и выше;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мощностью выше 35/10/0,4 кВ;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газопроводов, газопроводов-отводов высокого давления от магистральных газопроводов, автоматизированных газораспределительных станций, подводящих межпоселковых газопроводов высокого давления, газораспределительных сетей в пределах границ (черты) населенных пунктов;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полигонов (не опасных, твердых бытовых отходов), рекультивацию полигонов (не опасных, твердых бытовых отходов), исчерпавших срок эксплуатации.";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