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3c27" w14:textId="4753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25 февраля 2015 года № 126 "Об утверждении Правил рассмотрения и отбора целевых трансфертов на развитие"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ноября 2017 года № 689. Зарегистрирован в Министерстве юстиции Республики Казахстан 26 декабря 2017 года № 16125.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февраля 2015 года № 126 "Об утверждении Правил рассмотрения и отбора целевых трансфертов на развитие" (зарегистрирован в Реестре государственной регистрации нормативных правовых актов за № 10593, опубликован 13 мая 2015 года в информационно-правовой системе "Әділет") следующие изменение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 отбора целевых трансфертов на развитие,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Целевые трансферты на развитие из республиканского бюджета выделяются бюджетам областей, городов республиканского значения, столицы в соответствии с целями, задачами, целевыми индикаторами и показателями результатов государственных программ при обеспеченности регионов инфраструктурой ниже среднереспубликанского уровня по определению центральных уполномоченных органов соответствующей отрасли.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из республиканского бюджета финансируются расходы на строительство, реконструкцию, расширение и модернизацию: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общеобразовательных школ взамен аварийных и подлежащих сносу, решающие проблему 3-х и более сменного обучения и дефицита ученических мест в селах и городах, с мощностью 300 мест и более;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многопрофильных и противотуберкулезных организаций с мощностью не менее 200 коек и поликлиники с мощностью не менее 250 посещений в смену, взамен аварийных и подлежащих сносу, создающие угрозу в ограничении доступности медицинской помощи;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 производства крови, ее компонентов и препаратов для местных организаций здравоохранения;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психоневрологические медико-социальные учреждения;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психоневрологические медико-социальные учреждения;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реабилитационные центры для инвалидов, центры реабилитации и адаптации детей-инвалидов;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автомобильных дорог областного значения;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жилья и инженерно-коммуникационной инфрастуктуры к жилью;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объектов, сооружений, сетей водоснабжения и водоотведения;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 городов республиканского значения, столицы;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подстанций мощностью выше 35/10/0,4 кВ;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теплоэлектроцентралей и котельных мощностью 100 Гкал/час и выше;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мощностью выше 35/10/0,4 кВ;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магистральных газопроводов, газопроводов-отводов высокого давления от магистральных газопроводов, автоматизированных газораспределительных станций, подводящих межпоселковых газопроводов высокого давления, газораспределительных сетей в пределах границ (черты) населенных пунктов;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полигонов (не опасных, твердых бытовых отходов), рекультивацию полигонов (не опасных, твердых бытовых отходов), исчерпавших срок эксплуатации.";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декабря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