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f8919" w14:textId="c9f89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выбора зарубежных организаций, управляющих пенсионными активами единого накопительного пенсионного фонда, включая требования к ним, при поручении им совершать действия, необходимые для управления пенсионными активами единого накопительного пенсионного фонда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27 сентября 2017 года № 173. Зарегистрировано в Министерстве юстиции Республики Казахстан 31 октября 2017 года № 15947. Утратило силу постановлением Правления Национального Банка Республики Казахстан от 15 июня 2020 года № 78.</w:t>
      </w:r>
    </w:p>
    <w:p>
      <w:pPr>
        <w:spacing w:after="0"/>
        <w:ind w:left="0"/>
        <w:jc w:val="both"/>
      </w:pPr>
      <w:r>
        <w:rPr>
          <w:rFonts w:ascii="Times New Roman"/>
          <w:b w:val="false"/>
          <w:i w:val="false"/>
          <w:color w:val="ff0000"/>
          <w:sz w:val="28"/>
        </w:rPr>
        <w:t xml:space="preserve">
      Сноска. Утратило силу постановлением Правления Национального Банка РК от 15.06.2020 </w:t>
      </w:r>
      <w:r>
        <w:rPr>
          <w:rFonts w:ascii="Times New Roman"/>
          <w:b w:val="false"/>
          <w:i w:val="false"/>
          <w:color w:val="ff0000"/>
          <w:sz w:val="28"/>
        </w:rPr>
        <w:t>№ 78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30 марта 1995 года "О Национальном Банке Республики Казахстан" и в целях обеспечения эффективности управления пенсионными активами единого накопительного пенсионного фонда Правление Национального Банка Республики Казахстан </w:t>
      </w:r>
      <w:r>
        <w:rPr>
          <w:rFonts w:ascii="Times New Roman"/>
          <w:b/>
          <w:i w:val="false"/>
          <w:color w:val="000000"/>
          <w:sz w:val="28"/>
        </w:rPr>
        <w:t>ПОСТАНОВЛЯЕТ:</w:t>
      </w:r>
    </w:p>
    <w:bookmarkEnd w:id="0"/>
    <w:bookmarkStart w:name="z4"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выбора зарубежных организаций, управляющих пенсионными активами единого накопительного пенсионного фонда, включая требования к ним, при поручении им совершать действия, необходимые для управления пенсионными активами единого накопительного пенсионного фонда.</w:t>
      </w:r>
    </w:p>
    <w:bookmarkEnd w:id="1"/>
    <w:bookmarkStart w:name="z5"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27 августа 2013 года № 222 "Об утверждении Правил выбора зарубежных организаций, управляющих пенсионными активами единого накопительного пенсионного фонда, включая требования к ним, при поручении им совершать действия, необходимые для управления пенсионными активами единого накопительного пенсионного фонда" (зарегистрированное в Реестре государственной регистрации нормативных правовых актов под № 8813, опубликованное 28 ноября 2013 года в газете "Казахстанская правда" № 325 (27599).</w:t>
      </w:r>
    </w:p>
    <w:bookmarkEnd w:id="2"/>
    <w:bookmarkStart w:name="z6" w:id="3"/>
    <w:p>
      <w:pPr>
        <w:spacing w:after="0"/>
        <w:ind w:left="0"/>
        <w:jc w:val="both"/>
      </w:pPr>
      <w:r>
        <w:rPr>
          <w:rFonts w:ascii="Times New Roman"/>
          <w:b w:val="false"/>
          <w:i w:val="false"/>
          <w:color w:val="000000"/>
          <w:sz w:val="28"/>
        </w:rPr>
        <w:t>
      3. Департаменту монетарных операций (Молдабекова А.М.) в установленном законодательством Республики Казахстан порядке обеспечить:</w:t>
      </w:r>
    </w:p>
    <w:bookmarkEnd w:id="3"/>
    <w:bookmarkStart w:name="z7" w:id="4"/>
    <w:p>
      <w:pPr>
        <w:spacing w:after="0"/>
        <w:ind w:left="0"/>
        <w:jc w:val="both"/>
      </w:pPr>
      <w:r>
        <w:rPr>
          <w:rFonts w:ascii="Times New Roman"/>
          <w:b w:val="false"/>
          <w:i w:val="false"/>
          <w:color w:val="000000"/>
          <w:sz w:val="28"/>
        </w:rPr>
        <w:t>
      1) совместно с Юридическим департаментом (Сарсенова Н.В.) государственную регистрацию настоящего постановления в Министерстве юстиции Республики Казахстан;</w:t>
      </w:r>
    </w:p>
    <w:bookmarkEnd w:id="4"/>
    <w:bookmarkStart w:name="z8" w:id="5"/>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5"/>
    <w:bookmarkStart w:name="z9" w:id="6"/>
    <w:p>
      <w:pPr>
        <w:spacing w:after="0"/>
        <w:ind w:left="0"/>
        <w:jc w:val="both"/>
      </w:pPr>
      <w:r>
        <w:rPr>
          <w:rFonts w:ascii="Times New Roman"/>
          <w:b w:val="false"/>
          <w:i w:val="false"/>
          <w:color w:val="000000"/>
          <w:sz w:val="28"/>
        </w:rPr>
        <w:t>
      3) размещение настоящего постановления на официальном интернет-ресурсе Национального Банка Республики Казахстан после его официального опубликования.</w:t>
      </w:r>
    </w:p>
    <w:bookmarkEnd w:id="6"/>
    <w:bookmarkStart w:name="z10" w:id="7"/>
    <w:p>
      <w:pPr>
        <w:spacing w:after="0"/>
        <w:ind w:left="0"/>
        <w:jc w:val="both"/>
      </w:pPr>
      <w:r>
        <w:rPr>
          <w:rFonts w:ascii="Times New Roman"/>
          <w:b w:val="false"/>
          <w:i w:val="false"/>
          <w:color w:val="000000"/>
          <w:sz w:val="28"/>
        </w:rPr>
        <w:t>
      4. Управлению по защите прав потребителей финансовых услуг и внешних коммуникаций (Терентьев А.Л.)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w:t>
      </w:r>
    </w:p>
    <w:bookmarkEnd w:id="7"/>
    <w:bookmarkStart w:name="z11" w:id="8"/>
    <w:p>
      <w:pPr>
        <w:spacing w:after="0"/>
        <w:ind w:left="0"/>
        <w:jc w:val="both"/>
      </w:pPr>
      <w:r>
        <w:rPr>
          <w:rFonts w:ascii="Times New Roman"/>
          <w:b w:val="false"/>
          <w:i w:val="false"/>
          <w:color w:val="000000"/>
          <w:sz w:val="28"/>
        </w:rPr>
        <w:t>
      5. Контроль за исполнением настоящего постановления возложить на заместителя Председателя Национального Банка Республики Казахстан Смолякова О.А.</w:t>
      </w:r>
    </w:p>
    <w:bookmarkEnd w:id="8"/>
    <w:bookmarkStart w:name="z12" w:id="9"/>
    <w:p>
      <w:pPr>
        <w:spacing w:after="0"/>
        <w:ind w:left="0"/>
        <w:jc w:val="both"/>
      </w:pPr>
      <w:r>
        <w:rPr>
          <w:rFonts w:ascii="Times New Roman"/>
          <w:b w:val="false"/>
          <w:i w:val="false"/>
          <w:color w:val="000000"/>
          <w:sz w:val="28"/>
        </w:rPr>
        <w:t>
      6. Настоящее постановление вводится в действие по истечении десяти календарных дней после дня его первого официального опубликования.</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w:t>
            </w:r>
            <w:r>
              <w:br/>
            </w:r>
            <w:r>
              <w:rPr>
                <w:rFonts w:ascii="Times New Roman"/>
                <w:b w:val="false"/>
                <w:i/>
                <w:color w:val="000000"/>
                <w:sz w:val="20"/>
              </w:rPr>
              <w:t>Национального Банка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Акишев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Утверждены </w:t>
            </w:r>
            <w:r>
              <w:br/>
            </w:r>
            <w:r>
              <w:rPr>
                <w:rFonts w:ascii="Times New Roman"/>
                <w:b w:val="false"/>
                <w:i w:val="false"/>
                <w:color w:val="000000"/>
                <w:sz w:val="20"/>
              </w:rPr>
              <w:t xml:space="preserve">постановлением Правления </w:t>
            </w:r>
            <w:r>
              <w:br/>
            </w:r>
            <w:r>
              <w:rPr>
                <w:rFonts w:ascii="Times New Roman"/>
                <w:b w:val="false"/>
                <w:i w:val="false"/>
                <w:color w:val="000000"/>
                <w:sz w:val="20"/>
              </w:rPr>
              <w:t xml:space="preserve">Национального Банка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27 сентября 2017 года № 173</w:t>
            </w:r>
          </w:p>
        </w:tc>
      </w:tr>
    </w:tbl>
    <w:bookmarkStart w:name="z16" w:id="10"/>
    <w:p>
      <w:pPr>
        <w:spacing w:after="0"/>
        <w:ind w:left="0"/>
        <w:jc w:val="left"/>
      </w:pPr>
      <w:r>
        <w:rPr>
          <w:rFonts w:ascii="Times New Roman"/>
          <w:b/>
          <w:i w:val="false"/>
          <w:color w:val="000000"/>
        </w:rPr>
        <w:t xml:space="preserve"> Правила</w:t>
      </w:r>
      <w:r>
        <w:br/>
      </w:r>
      <w:r>
        <w:rPr>
          <w:rFonts w:ascii="Times New Roman"/>
          <w:b/>
          <w:i w:val="false"/>
          <w:color w:val="000000"/>
        </w:rPr>
        <w:t>выбора зарубежных организаций, управляющих пенсионными активами единого накопительного пенсионного фонда, включая требования к ним, при поручении им совершать действия, необходимые для управления пенсионными активами единого накопительного пенсионного фонда</w:t>
      </w:r>
    </w:p>
    <w:bookmarkEnd w:id="10"/>
    <w:bookmarkStart w:name="z18" w:id="11"/>
    <w:p>
      <w:pPr>
        <w:spacing w:after="0"/>
        <w:ind w:left="0"/>
        <w:jc w:val="left"/>
      </w:pPr>
      <w:r>
        <w:rPr>
          <w:rFonts w:ascii="Times New Roman"/>
          <w:b/>
          <w:i w:val="false"/>
          <w:color w:val="000000"/>
        </w:rPr>
        <w:t xml:space="preserve"> Глава 1. Общие положения</w:t>
      </w:r>
    </w:p>
    <w:bookmarkEnd w:id="11"/>
    <w:bookmarkStart w:name="z19" w:id="12"/>
    <w:p>
      <w:pPr>
        <w:spacing w:after="0"/>
        <w:ind w:left="0"/>
        <w:jc w:val="both"/>
      </w:pPr>
      <w:r>
        <w:rPr>
          <w:rFonts w:ascii="Times New Roman"/>
          <w:b w:val="false"/>
          <w:i w:val="false"/>
          <w:color w:val="000000"/>
          <w:sz w:val="28"/>
        </w:rPr>
        <w:t>
      1. Настоящие Правила выбора зарубежных организаций, управляющих пенсионными активами единого накопительного пенсионного фонда, включая требования к ним, при поручении им совершать действия, необходимые для управления пенсионными активами единого накопительного пенсионного фонда (далее – Правила) разработаны в соответствии с законами Республики Казахстан от 30 марта 1995 года "</w:t>
      </w:r>
      <w:r>
        <w:rPr>
          <w:rFonts w:ascii="Times New Roman"/>
          <w:b w:val="false"/>
          <w:i w:val="false"/>
          <w:color w:val="000000"/>
          <w:sz w:val="28"/>
        </w:rPr>
        <w:t>О Национальном Банке Республики Казахстан</w:t>
      </w:r>
      <w:r>
        <w:rPr>
          <w:rFonts w:ascii="Times New Roman"/>
          <w:b w:val="false"/>
          <w:i w:val="false"/>
          <w:color w:val="000000"/>
          <w:sz w:val="28"/>
        </w:rPr>
        <w:t>", от 21 июня 2013 года "</w:t>
      </w:r>
      <w:r>
        <w:rPr>
          <w:rFonts w:ascii="Times New Roman"/>
          <w:b w:val="false"/>
          <w:i w:val="false"/>
          <w:color w:val="000000"/>
          <w:sz w:val="28"/>
        </w:rPr>
        <w:t>О пенсионном обеспечении в Республике Казахстан</w:t>
      </w:r>
      <w:r>
        <w:rPr>
          <w:rFonts w:ascii="Times New Roman"/>
          <w:b w:val="false"/>
          <w:i w:val="false"/>
          <w:color w:val="000000"/>
          <w:sz w:val="28"/>
        </w:rPr>
        <w:t xml:space="preserve">", Договором об услугах по доверительному управлению пенсионными активами акционерного общества "Единый накопительный пенсионный фонд" от 26 августа 2013 года № 362НБ и определяют порядок выбора зарубежных организаций, управляющих пенсионными активами единого накопительного пенсионного фонда (далее – Фонд), включая требования к ним, при поручении им совершать действия, необходимые для инвестиционного управления пенсионными активами Фонда. </w:t>
      </w:r>
    </w:p>
    <w:bookmarkEnd w:id="12"/>
    <w:bookmarkStart w:name="z20" w:id="13"/>
    <w:p>
      <w:pPr>
        <w:spacing w:after="0"/>
        <w:ind w:left="0"/>
        <w:jc w:val="both"/>
      </w:pPr>
      <w:r>
        <w:rPr>
          <w:rFonts w:ascii="Times New Roman"/>
          <w:b w:val="false"/>
          <w:i w:val="false"/>
          <w:color w:val="000000"/>
          <w:sz w:val="28"/>
        </w:rPr>
        <w:t>
      2. Часть пенсионных активов Фонда во внешнее инвестиционное управление передается для:</w:t>
      </w:r>
    </w:p>
    <w:bookmarkEnd w:id="13"/>
    <w:bookmarkStart w:name="z21" w:id="14"/>
    <w:p>
      <w:pPr>
        <w:spacing w:after="0"/>
        <w:ind w:left="0"/>
        <w:jc w:val="both"/>
      </w:pPr>
      <w:r>
        <w:rPr>
          <w:rFonts w:ascii="Times New Roman"/>
          <w:b w:val="false"/>
          <w:i w:val="false"/>
          <w:color w:val="000000"/>
          <w:sz w:val="28"/>
        </w:rPr>
        <w:t>
      1) снижения уровня рисков, связанных с концентрацией управления, посредством диверсификации управляющих;</w:t>
      </w:r>
    </w:p>
    <w:bookmarkEnd w:id="14"/>
    <w:bookmarkStart w:name="z22" w:id="15"/>
    <w:p>
      <w:pPr>
        <w:spacing w:after="0"/>
        <w:ind w:left="0"/>
        <w:jc w:val="both"/>
      </w:pPr>
      <w:r>
        <w:rPr>
          <w:rFonts w:ascii="Times New Roman"/>
          <w:b w:val="false"/>
          <w:i w:val="false"/>
          <w:color w:val="000000"/>
          <w:sz w:val="28"/>
        </w:rPr>
        <w:t>
      2) увеличения доходности пенсионных активов Фонда благодаря использованию опыта, аналитических материалов, исследований и технических ресурсов внешнего управляющего;</w:t>
      </w:r>
    </w:p>
    <w:bookmarkEnd w:id="15"/>
    <w:bookmarkStart w:name="z23" w:id="16"/>
    <w:p>
      <w:pPr>
        <w:spacing w:after="0"/>
        <w:ind w:left="0"/>
        <w:jc w:val="both"/>
      </w:pPr>
      <w:r>
        <w:rPr>
          <w:rFonts w:ascii="Times New Roman"/>
          <w:b w:val="false"/>
          <w:i w:val="false"/>
          <w:color w:val="000000"/>
          <w:sz w:val="28"/>
        </w:rPr>
        <w:t>
      3) получения дополнительной экспертизы в области управления активами, обучения персонала;</w:t>
      </w:r>
    </w:p>
    <w:bookmarkEnd w:id="16"/>
    <w:bookmarkStart w:name="z24" w:id="17"/>
    <w:p>
      <w:pPr>
        <w:spacing w:after="0"/>
        <w:ind w:left="0"/>
        <w:jc w:val="both"/>
      </w:pPr>
      <w:r>
        <w:rPr>
          <w:rFonts w:ascii="Times New Roman"/>
          <w:b w:val="false"/>
          <w:i w:val="false"/>
          <w:color w:val="000000"/>
          <w:sz w:val="28"/>
        </w:rPr>
        <w:t>
      4) возможности использования новых классов активов, по которым отсутствует опыт во внутреннем управлении.</w:t>
      </w:r>
    </w:p>
    <w:bookmarkEnd w:id="17"/>
    <w:bookmarkStart w:name="z25" w:id="18"/>
    <w:p>
      <w:pPr>
        <w:spacing w:after="0"/>
        <w:ind w:left="0"/>
        <w:jc w:val="both"/>
      </w:pPr>
      <w:r>
        <w:rPr>
          <w:rFonts w:ascii="Times New Roman"/>
          <w:b w:val="false"/>
          <w:i w:val="false"/>
          <w:color w:val="000000"/>
          <w:sz w:val="28"/>
        </w:rPr>
        <w:t>
      3. В Правилах используются следующие понятия:</w:t>
      </w:r>
    </w:p>
    <w:bookmarkEnd w:id="18"/>
    <w:bookmarkStart w:name="z26" w:id="19"/>
    <w:p>
      <w:pPr>
        <w:spacing w:after="0"/>
        <w:ind w:left="0"/>
        <w:jc w:val="both"/>
      </w:pPr>
      <w:r>
        <w:rPr>
          <w:rFonts w:ascii="Times New Roman"/>
          <w:b w:val="false"/>
          <w:i w:val="false"/>
          <w:color w:val="000000"/>
          <w:sz w:val="28"/>
        </w:rPr>
        <w:t>
      1) активное управление активами – вид управления, при котором целевое значение изменчивости отклонения доходности (tracking error) превышает 0,5 (ноль целых пять десятых) процента;</w:t>
      </w:r>
    </w:p>
    <w:bookmarkEnd w:id="19"/>
    <w:bookmarkStart w:name="z27" w:id="20"/>
    <w:p>
      <w:pPr>
        <w:spacing w:after="0"/>
        <w:ind w:left="0"/>
        <w:jc w:val="both"/>
      </w:pPr>
      <w:r>
        <w:rPr>
          <w:rFonts w:ascii="Times New Roman"/>
          <w:b w:val="false"/>
          <w:i w:val="false"/>
          <w:color w:val="000000"/>
          <w:sz w:val="28"/>
        </w:rPr>
        <w:t>
      2) инвестиционное управление активами – процесс управления активами;</w:t>
      </w:r>
    </w:p>
    <w:bookmarkEnd w:id="20"/>
    <w:bookmarkStart w:name="z28" w:id="21"/>
    <w:p>
      <w:pPr>
        <w:spacing w:after="0"/>
        <w:ind w:left="0"/>
        <w:jc w:val="both"/>
      </w:pPr>
      <w:r>
        <w:rPr>
          <w:rFonts w:ascii="Times New Roman"/>
          <w:b w:val="false"/>
          <w:i w:val="false"/>
          <w:color w:val="000000"/>
          <w:sz w:val="28"/>
        </w:rPr>
        <w:t>
      3) пассивное управление активами – вид управления, при котором значение изменчивости отклонения доходности (tracking error) не превышает 0,5 (ноль целых пять десятых) процента. При пассивном управлении доходность портфеля во внешнем управлении приблизительно равна доходности эталонного портфеля;</w:t>
      </w:r>
    </w:p>
    <w:bookmarkEnd w:id="21"/>
    <w:bookmarkStart w:name="z29" w:id="22"/>
    <w:p>
      <w:pPr>
        <w:spacing w:after="0"/>
        <w:ind w:left="0"/>
        <w:jc w:val="both"/>
      </w:pPr>
      <w:r>
        <w:rPr>
          <w:rFonts w:ascii="Times New Roman"/>
          <w:b w:val="false"/>
          <w:i w:val="false"/>
          <w:color w:val="000000"/>
          <w:sz w:val="28"/>
        </w:rPr>
        <w:t>
      4) внешнее управление активами – вид управления активами, при котором происходит передача активов в инвестиционное управление зарубежной организации, специализирующейся на инвестиционном управлении активами клиентов и осуществляющей свою деятельность на международных финансовых рынках;</w:t>
      </w:r>
    </w:p>
    <w:bookmarkEnd w:id="22"/>
    <w:bookmarkStart w:name="z30" w:id="23"/>
    <w:p>
      <w:pPr>
        <w:spacing w:after="0"/>
        <w:ind w:left="0"/>
        <w:jc w:val="both"/>
      </w:pPr>
      <w:r>
        <w:rPr>
          <w:rFonts w:ascii="Times New Roman"/>
          <w:b w:val="false"/>
          <w:i w:val="false"/>
          <w:color w:val="000000"/>
          <w:sz w:val="28"/>
        </w:rPr>
        <w:t>
      5) внешнее транзитное управление активами – вид управления, при котором активы передаются на срок до 6 (шести) месяцев внешнему транзитному управляющему с целью минимизации рисков в связи с изменениями в структуре передаваемых активов;</w:t>
      </w:r>
    </w:p>
    <w:bookmarkEnd w:id="23"/>
    <w:bookmarkStart w:name="z31" w:id="24"/>
    <w:p>
      <w:pPr>
        <w:spacing w:after="0"/>
        <w:ind w:left="0"/>
        <w:jc w:val="both"/>
      </w:pPr>
      <w:r>
        <w:rPr>
          <w:rFonts w:ascii="Times New Roman"/>
          <w:b w:val="false"/>
          <w:i w:val="false"/>
          <w:color w:val="000000"/>
          <w:sz w:val="28"/>
        </w:rPr>
        <w:t>
      6) информационный коэффициент (information ratio) – отношение исторического уровня сверхдоходности к историческому уровню риска (изменчивости отклонения доходности (tracking error);</w:t>
      </w:r>
    </w:p>
    <w:bookmarkEnd w:id="24"/>
    <w:bookmarkStart w:name="z32" w:id="25"/>
    <w:p>
      <w:pPr>
        <w:spacing w:after="0"/>
        <w:ind w:left="0"/>
        <w:jc w:val="both"/>
      </w:pPr>
      <w:r>
        <w:rPr>
          <w:rFonts w:ascii="Times New Roman"/>
          <w:b w:val="false"/>
          <w:i w:val="false"/>
          <w:color w:val="000000"/>
          <w:sz w:val="28"/>
        </w:rPr>
        <w:t>
      7) глобальный мандат – портфель, инвестиции которого выходят за рамки одной страны (рынка, региона);</w:t>
      </w:r>
    </w:p>
    <w:bookmarkEnd w:id="25"/>
    <w:bookmarkStart w:name="z33" w:id="26"/>
    <w:p>
      <w:pPr>
        <w:spacing w:after="0"/>
        <w:ind w:left="0"/>
        <w:jc w:val="both"/>
      </w:pPr>
      <w:r>
        <w:rPr>
          <w:rFonts w:ascii="Times New Roman"/>
          <w:b w:val="false"/>
          <w:i w:val="false"/>
          <w:color w:val="000000"/>
          <w:sz w:val="28"/>
        </w:rPr>
        <w:t>
      8) головная организация – зарубежная организация, владеющая контрольным пакетом акций дочерних организаций;</w:t>
      </w:r>
    </w:p>
    <w:bookmarkEnd w:id="26"/>
    <w:bookmarkStart w:name="z34" w:id="27"/>
    <w:p>
      <w:pPr>
        <w:spacing w:after="0"/>
        <w:ind w:left="0"/>
        <w:jc w:val="both"/>
      </w:pPr>
      <w:r>
        <w:rPr>
          <w:rFonts w:ascii="Times New Roman"/>
          <w:b w:val="false"/>
          <w:i w:val="false"/>
          <w:color w:val="000000"/>
          <w:sz w:val="28"/>
        </w:rPr>
        <w:t>
      9) уровень сверхдоходности – разница между фактически достигнутым уровнем доходности и уровнем доходности эталонного портфеля;</w:t>
      </w:r>
    </w:p>
    <w:bookmarkEnd w:id="27"/>
    <w:bookmarkStart w:name="z35" w:id="28"/>
    <w:p>
      <w:pPr>
        <w:spacing w:after="0"/>
        <w:ind w:left="0"/>
        <w:jc w:val="both"/>
      </w:pPr>
      <w:r>
        <w:rPr>
          <w:rFonts w:ascii="Times New Roman"/>
          <w:b w:val="false"/>
          <w:i w:val="false"/>
          <w:color w:val="000000"/>
          <w:sz w:val="28"/>
        </w:rPr>
        <w:t>
      10) институциональный инвестор – юридическое лицо, выступающее в роли держателя финансовых активов и осуществляющее профессиональную деятельность по инвестированию финансовых активов;</w:t>
      </w:r>
    </w:p>
    <w:bookmarkEnd w:id="28"/>
    <w:bookmarkStart w:name="z36" w:id="29"/>
    <w:p>
      <w:pPr>
        <w:spacing w:after="0"/>
        <w:ind w:left="0"/>
        <w:jc w:val="both"/>
      </w:pPr>
      <w:r>
        <w:rPr>
          <w:rFonts w:ascii="Times New Roman"/>
          <w:b w:val="false"/>
          <w:i w:val="false"/>
          <w:color w:val="000000"/>
          <w:sz w:val="28"/>
        </w:rPr>
        <w:t>
      11) комиссионное вознаграждение – вознаграждение, выплачиваемое за услуги по инвестиционному управлению активами;</w:t>
      </w:r>
    </w:p>
    <w:bookmarkEnd w:id="29"/>
    <w:bookmarkStart w:name="z37" w:id="30"/>
    <w:p>
      <w:pPr>
        <w:spacing w:after="0"/>
        <w:ind w:left="0"/>
        <w:jc w:val="both"/>
      </w:pPr>
      <w:r>
        <w:rPr>
          <w:rFonts w:ascii="Times New Roman"/>
          <w:b w:val="false"/>
          <w:i w:val="false"/>
          <w:color w:val="000000"/>
          <w:sz w:val="28"/>
        </w:rPr>
        <w:t>
      12) изменчивость отклонения доходности (tracking error) – основной показатель рыночного риска портфеля по отношению к эталонному портфелю, отражающий изменчивость отклонения доходности портфеля от доходности эталонного портфеля;</w:t>
      </w:r>
    </w:p>
    <w:bookmarkEnd w:id="30"/>
    <w:bookmarkStart w:name="z38" w:id="31"/>
    <w:p>
      <w:pPr>
        <w:spacing w:after="0"/>
        <w:ind w:left="0"/>
        <w:jc w:val="both"/>
      </w:pPr>
      <w:r>
        <w:rPr>
          <w:rFonts w:ascii="Times New Roman"/>
          <w:b w:val="false"/>
          <w:i w:val="false"/>
          <w:color w:val="000000"/>
          <w:sz w:val="28"/>
        </w:rPr>
        <w:t>
      13) инвестиционная декларация Фонда – декларация, определяющая стратегию инвестирования пенсионных активов Фонда, перечень объектов инвестирования, условия и ограничения инвестиционной деятельности в отношении пенсионных активов Фонда, условия хеджирования и диверсификации пенсионных активов Фонда;</w:t>
      </w:r>
    </w:p>
    <w:bookmarkEnd w:id="31"/>
    <w:bookmarkStart w:name="z39" w:id="32"/>
    <w:p>
      <w:pPr>
        <w:spacing w:after="0"/>
        <w:ind w:left="0"/>
        <w:jc w:val="both"/>
      </w:pPr>
      <w:r>
        <w:rPr>
          <w:rFonts w:ascii="Times New Roman"/>
          <w:b w:val="false"/>
          <w:i w:val="false"/>
          <w:color w:val="000000"/>
          <w:sz w:val="28"/>
        </w:rPr>
        <w:t>
      14) мандат – портфель, имеющий инвестиционные характеристики, определяемые Национальным Банком Республики Казахстан (далее – Национальный Банк);</w:t>
      </w:r>
    </w:p>
    <w:bookmarkEnd w:id="32"/>
    <w:bookmarkStart w:name="z40" w:id="33"/>
    <w:p>
      <w:pPr>
        <w:spacing w:after="0"/>
        <w:ind w:left="0"/>
        <w:jc w:val="both"/>
      </w:pPr>
      <w:r>
        <w:rPr>
          <w:rFonts w:ascii="Times New Roman"/>
          <w:b w:val="false"/>
          <w:i w:val="false"/>
          <w:color w:val="000000"/>
          <w:sz w:val="28"/>
        </w:rPr>
        <w:t>
      15) маржевой счет – счет для проведения операций с производными финансовыми инструментами, открытый в клиринговой организации, являющейся организацией, аффилированной с биржами, обеспечивающей действительность, поставку и проведение расчетов по операциям с производными финансовыми инструментами;</w:t>
      </w:r>
    </w:p>
    <w:bookmarkEnd w:id="33"/>
    <w:bookmarkStart w:name="z41" w:id="34"/>
    <w:p>
      <w:pPr>
        <w:spacing w:after="0"/>
        <w:ind w:left="0"/>
        <w:jc w:val="both"/>
      </w:pPr>
      <w:r>
        <w:rPr>
          <w:rFonts w:ascii="Times New Roman"/>
          <w:b w:val="false"/>
          <w:i w:val="false"/>
          <w:color w:val="000000"/>
          <w:sz w:val="28"/>
        </w:rPr>
        <w:t>
      16) региональный мандат – портфель, инвестиции которого сосредоточены в рамках одной страны (рынка, региона);</w:t>
      </w:r>
    </w:p>
    <w:bookmarkEnd w:id="34"/>
    <w:bookmarkStart w:name="z42" w:id="35"/>
    <w:p>
      <w:pPr>
        <w:spacing w:after="0"/>
        <w:ind w:left="0"/>
        <w:jc w:val="both"/>
      </w:pPr>
      <w:r>
        <w:rPr>
          <w:rFonts w:ascii="Times New Roman"/>
          <w:b w:val="false"/>
          <w:i w:val="false"/>
          <w:color w:val="000000"/>
          <w:sz w:val="28"/>
        </w:rPr>
        <w:t>
      17) портфель – набор финансовых инструментов, в том числе наличная валюта;</w:t>
      </w:r>
    </w:p>
    <w:bookmarkEnd w:id="35"/>
    <w:bookmarkStart w:name="z43" w:id="36"/>
    <w:p>
      <w:pPr>
        <w:spacing w:after="0"/>
        <w:ind w:left="0"/>
        <w:jc w:val="both"/>
      </w:pPr>
      <w:r>
        <w:rPr>
          <w:rFonts w:ascii="Times New Roman"/>
          <w:b w:val="false"/>
          <w:i w:val="false"/>
          <w:color w:val="000000"/>
          <w:sz w:val="28"/>
        </w:rPr>
        <w:t>
      18) портфельный менеджер – лицо, отвечающее за инвестиционное управление активами клиентов;</w:t>
      </w:r>
    </w:p>
    <w:bookmarkEnd w:id="36"/>
    <w:bookmarkStart w:name="z44" w:id="37"/>
    <w:p>
      <w:pPr>
        <w:spacing w:after="0"/>
        <w:ind w:left="0"/>
        <w:jc w:val="both"/>
      </w:pPr>
      <w:r>
        <w:rPr>
          <w:rFonts w:ascii="Times New Roman"/>
          <w:b w:val="false"/>
          <w:i w:val="false"/>
          <w:color w:val="000000"/>
          <w:sz w:val="28"/>
        </w:rPr>
        <w:t>
      19) внешний управляющий – зарубежная организация, специализирующаяся на инвестиционном управлении активами клиентов и осуществляющая свою деятельность на международных финансовых рынках;</w:t>
      </w:r>
    </w:p>
    <w:bookmarkEnd w:id="37"/>
    <w:bookmarkStart w:name="z45" w:id="38"/>
    <w:p>
      <w:pPr>
        <w:spacing w:after="0"/>
        <w:ind w:left="0"/>
        <w:jc w:val="both"/>
      </w:pPr>
      <w:r>
        <w:rPr>
          <w:rFonts w:ascii="Times New Roman"/>
          <w:b w:val="false"/>
          <w:i w:val="false"/>
          <w:color w:val="000000"/>
          <w:sz w:val="28"/>
        </w:rPr>
        <w:t>
      20) портфель во внешнем управлении – портфель, переданный под инвестиционное управление внешнему управляющему;</w:t>
      </w:r>
    </w:p>
    <w:bookmarkEnd w:id="38"/>
    <w:bookmarkStart w:name="z46" w:id="39"/>
    <w:p>
      <w:pPr>
        <w:spacing w:after="0"/>
        <w:ind w:left="0"/>
        <w:jc w:val="both"/>
      </w:pPr>
      <w:r>
        <w:rPr>
          <w:rFonts w:ascii="Times New Roman"/>
          <w:b w:val="false"/>
          <w:i w:val="false"/>
          <w:color w:val="000000"/>
          <w:sz w:val="28"/>
        </w:rPr>
        <w:t>
      21) внешний транзитный управляющий – зарубежная организация, оказывающая услуги транзитного управления активами клиентов и осуществляющая свою деятельность на международных финансовых рынках;</w:t>
      </w:r>
    </w:p>
    <w:bookmarkEnd w:id="39"/>
    <w:bookmarkStart w:name="z47" w:id="40"/>
    <w:p>
      <w:pPr>
        <w:spacing w:after="0"/>
        <w:ind w:left="0"/>
        <w:jc w:val="both"/>
      </w:pPr>
      <w:r>
        <w:rPr>
          <w:rFonts w:ascii="Times New Roman"/>
          <w:b w:val="false"/>
          <w:i w:val="false"/>
          <w:color w:val="000000"/>
          <w:sz w:val="28"/>
        </w:rPr>
        <w:t>
      22) транзитный период (transition period) – временной период, применяемый к портфелю, устанавливаемый в соответствии с Правилами в целях приведения его в соответствие с параметрами, установленными инвестиционной декларацией Фонда по управлению пенсионными активами;</w:t>
      </w:r>
    </w:p>
    <w:bookmarkEnd w:id="40"/>
    <w:bookmarkStart w:name="z48" w:id="41"/>
    <w:p>
      <w:pPr>
        <w:spacing w:after="0"/>
        <w:ind w:left="0"/>
        <w:jc w:val="both"/>
      </w:pPr>
      <w:r>
        <w:rPr>
          <w:rFonts w:ascii="Times New Roman"/>
          <w:b w:val="false"/>
          <w:i w:val="false"/>
          <w:color w:val="000000"/>
          <w:sz w:val="28"/>
        </w:rPr>
        <w:t>
      23) уполномоченное подразделение – подразделение монетарных операций центрального аппарата Национального Банка;</w:t>
      </w:r>
    </w:p>
    <w:bookmarkEnd w:id="41"/>
    <w:bookmarkStart w:name="z49" w:id="42"/>
    <w:p>
      <w:pPr>
        <w:spacing w:after="0"/>
        <w:ind w:left="0"/>
        <w:jc w:val="both"/>
      </w:pPr>
      <w:r>
        <w:rPr>
          <w:rFonts w:ascii="Times New Roman"/>
          <w:b w:val="false"/>
          <w:i w:val="false"/>
          <w:color w:val="000000"/>
          <w:sz w:val="28"/>
        </w:rPr>
        <w:t xml:space="preserve">
      24) эталонный портфель – набор финансовых инструментов, в том числе наличная валюта, отражающий стратегические интересы инвестора. Доходность эталонного портфеля служит мерой при оценке доходности управления активами. В качестве эталонного портфеля используются индексы, разработанные и отслеживаемые ведущими мировыми финансовыми организациями либо Национальным Банком. </w:t>
      </w:r>
    </w:p>
    <w:bookmarkEnd w:id="42"/>
    <w:bookmarkStart w:name="z50" w:id="43"/>
    <w:p>
      <w:pPr>
        <w:spacing w:after="0"/>
        <w:ind w:left="0"/>
        <w:jc w:val="left"/>
      </w:pPr>
      <w:r>
        <w:rPr>
          <w:rFonts w:ascii="Times New Roman"/>
          <w:b/>
          <w:i w:val="false"/>
          <w:color w:val="000000"/>
        </w:rPr>
        <w:t xml:space="preserve"> Глава 2. Основные условия внешнего и внешнего транзитного управления пенсионными активами Фонда</w:t>
      </w:r>
    </w:p>
    <w:bookmarkEnd w:id="43"/>
    <w:bookmarkStart w:name="z51" w:id="44"/>
    <w:p>
      <w:pPr>
        <w:spacing w:after="0"/>
        <w:ind w:left="0"/>
        <w:jc w:val="both"/>
      </w:pPr>
      <w:r>
        <w:rPr>
          <w:rFonts w:ascii="Times New Roman"/>
          <w:b w:val="false"/>
          <w:i w:val="false"/>
          <w:color w:val="000000"/>
          <w:sz w:val="28"/>
        </w:rPr>
        <w:t>
      4. Инвестиционное управление активами Фонда осуществляется как внешним управляющим, так и внешним транзитным управляющим.</w:t>
      </w:r>
    </w:p>
    <w:bookmarkEnd w:id="44"/>
    <w:bookmarkStart w:name="z52" w:id="45"/>
    <w:p>
      <w:pPr>
        <w:spacing w:after="0"/>
        <w:ind w:left="0"/>
        <w:jc w:val="both"/>
      </w:pPr>
      <w:r>
        <w:rPr>
          <w:rFonts w:ascii="Times New Roman"/>
          <w:b w:val="false"/>
          <w:i w:val="false"/>
          <w:color w:val="000000"/>
          <w:sz w:val="28"/>
        </w:rPr>
        <w:t>
      5. Во внешнее или внешнее транзитное управление передаются деньги и другие активы, входящие в состав пенсионных активов Фонда.</w:t>
      </w:r>
    </w:p>
    <w:bookmarkEnd w:id="45"/>
    <w:bookmarkStart w:name="z53" w:id="46"/>
    <w:p>
      <w:pPr>
        <w:spacing w:after="0"/>
        <w:ind w:left="0"/>
        <w:jc w:val="both"/>
      </w:pPr>
      <w:r>
        <w:rPr>
          <w:rFonts w:ascii="Times New Roman"/>
          <w:b w:val="false"/>
          <w:i w:val="false"/>
          <w:color w:val="000000"/>
          <w:sz w:val="28"/>
        </w:rPr>
        <w:t>
      6. Общий допустимый объем пенсионных активов Фонда, передаваемый во внешнее управление одному внешнему управляющему, составляет не более 10 (десяти) процентов портфеля пенсионных активов Фонда в иностранной валюте.</w:t>
      </w:r>
    </w:p>
    <w:bookmarkEnd w:id="46"/>
    <w:bookmarkStart w:name="z54" w:id="47"/>
    <w:p>
      <w:pPr>
        <w:spacing w:after="0"/>
        <w:ind w:left="0"/>
        <w:jc w:val="both"/>
      </w:pPr>
      <w:r>
        <w:rPr>
          <w:rFonts w:ascii="Times New Roman"/>
          <w:b w:val="false"/>
          <w:i w:val="false"/>
          <w:color w:val="000000"/>
          <w:sz w:val="28"/>
        </w:rPr>
        <w:t>
      При нарушении данного ограничения уполномоченное подразделение устраняет несоответствия в течение 3 (трех) месяцев со дня их возникновения.</w:t>
      </w:r>
    </w:p>
    <w:bookmarkEnd w:id="47"/>
    <w:bookmarkStart w:name="z55" w:id="48"/>
    <w:p>
      <w:pPr>
        <w:spacing w:after="0"/>
        <w:ind w:left="0"/>
        <w:jc w:val="both"/>
      </w:pPr>
      <w:r>
        <w:rPr>
          <w:rFonts w:ascii="Times New Roman"/>
          <w:b w:val="false"/>
          <w:i w:val="false"/>
          <w:color w:val="000000"/>
          <w:sz w:val="28"/>
        </w:rPr>
        <w:t xml:space="preserve">
      7. Если происходит нарушение лимита, установленного </w:t>
      </w:r>
      <w:r>
        <w:rPr>
          <w:rFonts w:ascii="Times New Roman"/>
          <w:b w:val="false"/>
          <w:i w:val="false"/>
          <w:color w:val="000000"/>
          <w:sz w:val="28"/>
        </w:rPr>
        <w:t>пунктом 6</w:t>
      </w:r>
      <w:r>
        <w:rPr>
          <w:rFonts w:ascii="Times New Roman"/>
          <w:b w:val="false"/>
          <w:i w:val="false"/>
          <w:color w:val="000000"/>
          <w:sz w:val="28"/>
        </w:rPr>
        <w:t xml:space="preserve"> Правил, ввиду слияния двух действующих внешних управляющих, уполномоченное подразделение вносит на рассмотрение Председателя или заместителя Председателя Национального Банка, курирующего уполномоченное подразделение, вопрос об изъятии части активов с целью устранения нарушений. Указанное нарушение устраняется в течение 4 (четырех) месяцев со дня его возникновения.</w:t>
      </w:r>
    </w:p>
    <w:bookmarkEnd w:id="48"/>
    <w:bookmarkStart w:name="z56" w:id="49"/>
    <w:p>
      <w:pPr>
        <w:spacing w:after="0"/>
        <w:ind w:left="0"/>
        <w:jc w:val="both"/>
      </w:pPr>
      <w:r>
        <w:rPr>
          <w:rFonts w:ascii="Times New Roman"/>
          <w:b w:val="false"/>
          <w:i w:val="false"/>
          <w:color w:val="000000"/>
          <w:sz w:val="28"/>
        </w:rPr>
        <w:t>
      8. Внешнему или внешнему транзитному управляющему выплачивается фиксированное комиссионное вознаграждение и (или) комиссионное вознаграждение, зависящее от результатов управления, в порядке, определенном договором на инвестиционное управление пенсионными активами Фонда, переданными во внешнее или внешнее транзитное управление (далее – договор на инвестиционное управление).</w:t>
      </w:r>
    </w:p>
    <w:bookmarkEnd w:id="49"/>
    <w:bookmarkStart w:name="z57" w:id="50"/>
    <w:p>
      <w:pPr>
        <w:spacing w:after="0"/>
        <w:ind w:left="0"/>
        <w:jc w:val="left"/>
      </w:pPr>
      <w:r>
        <w:rPr>
          <w:rFonts w:ascii="Times New Roman"/>
          <w:b/>
          <w:i w:val="false"/>
          <w:color w:val="000000"/>
        </w:rPr>
        <w:t xml:space="preserve"> Глава 3. Принятие решения и передача пенсионных активов Фонда во внешнее или внешнее транзитное управление</w:t>
      </w:r>
    </w:p>
    <w:bookmarkEnd w:id="50"/>
    <w:bookmarkStart w:name="z58" w:id="51"/>
    <w:p>
      <w:pPr>
        <w:spacing w:after="0"/>
        <w:ind w:left="0"/>
        <w:jc w:val="both"/>
      </w:pPr>
      <w:r>
        <w:rPr>
          <w:rFonts w:ascii="Times New Roman"/>
          <w:b w:val="false"/>
          <w:i w:val="false"/>
          <w:color w:val="000000"/>
          <w:sz w:val="28"/>
        </w:rPr>
        <w:t>
      9. Решение о необходимости передачи пенсионных активов Фонда во внешнее или внешнее транзитное управление принимается Председателем или заместителем Председателя Национального Банка, курирующим уполномоченное подразделение.</w:t>
      </w:r>
    </w:p>
    <w:bookmarkEnd w:id="51"/>
    <w:bookmarkStart w:name="z59" w:id="52"/>
    <w:p>
      <w:pPr>
        <w:spacing w:after="0"/>
        <w:ind w:left="0"/>
        <w:jc w:val="both"/>
      </w:pPr>
      <w:r>
        <w:rPr>
          <w:rFonts w:ascii="Times New Roman"/>
          <w:b w:val="false"/>
          <w:i w:val="false"/>
          <w:color w:val="000000"/>
          <w:sz w:val="28"/>
        </w:rPr>
        <w:t xml:space="preserve">
      10. Если внешний управляющий, осуществляющий внешнее управление золотовалютными активами Национального Банка и (или) активами Национального фонда Республики Казахстан, соответствует обязательным критериям, установленным </w:t>
      </w:r>
      <w:r>
        <w:rPr>
          <w:rFonts w:ascii="Times New Roman"/>
          <w:b w:val="false"/>
          <w:i w:val="false"/>
          <w:color w:val="000000"/>
          <w:sz w:val="28"/>
        </w:rPr>
        <w:t>пунктом 15</w:t>
      </w:r>
      <w:r>
        <w:rPr>
          <w:rFonts w:ascii="Times New Roman"/>
          <w:b w:val="false"/>
          <w:i w:val="false"/>
          <w:color w:val="000000"/>
          <w:sz w:val="28"/>
        </w:rPr>
        <w:t xml:space="preserve"> Правил, по решению Председателя или заместителя Председателя Национального Банка, курирующего уполномоченное подразделение, его кандидатура выносится на рассмотрение Правления Национального Банка без проведения процедур, предусмотренных </w:t>
      </w:r>
      <w:r>
        <w:rPr>
          <w:rFonts w:ascii="Times New Roman"/>
          <w:b w:val="false"/>
          <w:i w:val="false"/>
          <w:color w:val="000000"/>
          <w:sz w:val="28"/>
        </w:rPr>
        <w:t>пунктами 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Правил.</w:t>
      </w:r>
    </w:p>
    <w:bookmarkEnd w:id="52"/>
    <w:bookmarkStart w:name="z60" w:id="53"/>
    <w:p>
      <w:pPr>
        <w:spacing w:after="0"/>
        <w:ind w:left="0"/>
        <w:jc w:val="both"/>
      </w:pPr>
      <w:r>
        <w:rPr>
          <w:rFonts w:ascii="Times New Roman"/>
          <w:b w:val="false"/>
          <w:i w:val="false"/>
          <w:color w:val="000000"/>
          <w:sz w:val="28"/>
        </w:rPr>
        <w:t>
      11. Уполномоченное подразделение публикует на официальном интернет-ресурсе Национального Банка, в сети Интернет объявление о предстоящем проведении тендера по выбору внешнего управляющего, составляет список потенциальных внешних управляющих, рассылает указанное объявление потенциальным внешним управляющим. Объявление о предстоящем тендере (далее – объявление) содержит следующее:</w:t>
      </w:r>
    </w:p>
    <w:bookmarkEnd w:id="53"/>
    <w:bookmarkStart w:name="z61" w:id="54"/>
    <w:p>
      <w:pPr>
        <w:spacing w:after="0"/>
        <w:ind w:left="0"/>
        <w:jc w:val="both"/>
      </w:pPr>
      <w:r>
        <w:rPr>
          <w:rFonts w:ascii="Times New Roman"/>
          <w:b w:val="false"/>
          <w:i w:val="false"/>
          <w:color w:val="000000"/>
          <w:sz w:val="28"/>
        </w:rPr>
        <w:t>
      1) описание типа мандата и его характеристик (активное или пассивное, эталонный портфель, цели управления, инвестиционные ограничения, приблизительный объем мандата);</w:t>
      </w:r>
    </w:p>
    <w:bookmarkEnd w:id="54"/>
    <w:bookmarkStart w:name="z62" w:id="55"/>
    <w:p>
      <w:pPr>
        <w:spacing w:after="0"/>
        <w:ind w:left="0"/>
        <w:jc w:val="both"/>
      </w:pPr>
      <w:r>
        <w:rPr>
          <w:rFonts w:ascii="Times New Roman"/>
          <w:b w:val="false"/>
          <w:i w:val="false"/>
          <w:color w:val="000000"/>
          <w:sz w:val="28"/>
        </w:rPr>
        <w:t xml:space="preserve">
      2) минимальную информацию, запрашиваемую у потенциального внешнего управляющего, в соответствии с </w:t>
      </w:r>
      <w:r>
        <w:rPr>
          <w:rFonts w:ascii="Times New Roman"/>
          <w:b w:val="false"/>
          <w:i w:val="false"/>
          <w:color w:val="000000"/>
          <w:sz w:val="28"/>
        </w:rPr>
        <w:t>приложением 1</w:t>
      </w:r>
      <w:r>
        <w:rPr>
          <w:rFonts w:ascii="Times New Roman"/>
          <w:b w:val="false"/>
          <w:i w:val="false"/>
          <w:color w:val="000000"/>
          <w:sz w:val="28"/>
        </w:rPr>
        <w:t xml:space="preserve"> к Правилам;</w:t>
      </w:r>
    </w:p>
    <w:bookmarkEnd w:id="55"/>
    <w:bookmarkStart w:name="z63" w:id="56"/>
    <w:p>
      <w:pPr>
        <w:spacing w:after="0"/>
        <w:ind w:left="0"/>
        <w:jc w:val="both"/>
      </w:pPr>
      <w:r>
        <w:rPr>
          <w:rFonts w:ascii="Times New Roman"/>
          <w:b w:val="false"/>
          <w:i w:val="false"/>
          <w:color w:val="000000"/>
          <w:sz w:val="28"/>
        </w:rPr>
        <w:t>
      3) требования к внешним управляющим;</w:t>
      </w:r>
    </w:p>
    <w:bookmarkEnd w:id="56"/>
    <w:bookmarkStart w:name="z64" w:id="57"/>
    <w:p>
      <w:pPr>
        <w:spacing w:after="0"/>
        <w:ind w:left="0"/>
        <w:jc w:val="both"/>
      </w:pPr>
      <w:r>
        <w:rPr>
          <w:rFonts w:ascii="Times New Roman"/>
          <w:b w:val="false"/>
          <w:i w:val="false"/>
          <w:color w:val="000000"/>
          <w:sz w:val="28"/>
        </w:rPr>
        <w:t>
      4) сведения о работниках Национального Банка, ответственных за проведение тендера;</w:t>
      </w:r>
    </w:p>
    <w:bookmarkEnd w:id="57"/>
    <w:bookmarkStart w:name="z65" w:id="58"/>
    <w:p>
      <w:pPr>
        <w:spacing w:after="0"/>
        <w:ind w:left="0"/>
        <w:jc w:val="both"/>
      </w:pPr>
      <w:r>
        <w:rPr>
          <w:rFonts w:ascii="Times New Roman"/>
          <w:b w:val="false"/>
          <w:i w:val="false"/>
          <w:color w:val="000000"/>
          <w:sz w:val="28"/>
        </w:rPr>
        <w:t xml:space="preserve">
      5) срок представления в Национальный Банк запрашиваемой минимальной информации; </w:t>
      </w:r>
    </w:p>
    <w:bookmarkEnd w:id="58"/>
    <w:bookmarkStart w:name="z66" w:id="59"/>
    <w:p>
      <w:pPr>
        <w:spacing w:after="0"/>
        <w:ind w:left="0"/>
        <w:jc w:val="both"/>
      </w:pPr>
      <w:r>
        <w:rPr>
          <w:rFonts w:ascii="Times New Roman"/>
          <w:b w:val="false"/>
          <w:i w:val="false"/>
          <w:color w:val="000000"/>
          <w:sz w:val="28"/>
        </w:rPr>
        <w:t xml:space="preserve">
      6) условия, предусмотренные </w:t>
      </w:r>
      <w:r>
        <w:rPr>
          <w:rFonts w:ascii="Times New Roman"/>
          <w:b w:val="false"/>
          <w:i w:val="false"/>
          <w:color w:val="000000"/>
          <w:sz w:val="28"/>
        </w:rPr>
        <w:t>пунктом 25</w:t>
      </w:r>
      <w:r>
        <w:rPr>
          <w:rFonts w:ascii="Times New Roman"/>
          <w:b w:val="false"/>
          <w:i w:val="false"/>
          <w:color w:val="000000"/>
          <w:sz w:val="28"/>
        </w:rPr>
        <w:t xml:space="preserve"> Правил. Обязательным условием рассмотрения предложения потенциального внешнего управляющего является его письменное подтверждение о включении условий, предусмотренных </w:t>
      </w:r>
      <w:r>
        <w:rPr>
          <w:rFonts w:ascii="Times New Roman"/>
          <w:b w:val="false"/>
          <w:i w:val="false"/>
          <w:color w:val="000000"/>
          <w:sz w:val="28"/>
        </w:rPr>
        <w:t>пунктом 25</w:t>
      </w:r>
      <w:r>
        <w:rPr>
          <w:rFonts w:ascii="Times New Roman"/>
          <w:b w:val="false"/>
          <w:i w:val="false"/>
          <w:color w:val="000000"/>
          <w:sz w:val="28"/>
        </w:rPr>
        <w:t xml:space="preserve"> Правил, в договор на инвестиционное управление.</w:t>
      </w:r>
    </w:p>
    <w:bookmarkEnd w:id="59"/>
    <w:bookmarkStart w:name="z67" w:id="60"/>
    <w:p>
      <w:pPr>
        <w:spacing w:after="0"/>
        <w:ind w:left="0"/>
        <w:jc w:val="both"/>
      </w:pPr>
      <w:r>
        <w:rPr>
          <w:rFonts w:ascii="Times New Roman"/>
          <w:b w:val="false"/>
          <w:i w:val="false"/>
          <w:color w:val="000000"/>
          <w:sz w:val="28"/>
        </w:rPr>
        <w:t xml:space="preserve">
      12. Тендер по выбору внешних управляющих проводится уполномоченным подразделением. </w:t>
      </w:r>
    </w:p>
    <w:bookmarkEnd w:id="60"/>
    <w:bookmarkStart w:name="z68" w:id="61"/>
    <w:p>
      <w:pPr>
        <w:spacing w:after="0"/>
        <w:ind w:left="0"/>
        <w:jc w:val="both"/>
      </w:pPr>
      <w:r>
        <w:rPr>
          <w:rFonts w:ascii="Times New Roman"/>
          <w:b w:val="false"/>
          <w:i w:val="false"/>
          <w:color w:val="000000"/>
          <w:sz w:val="28"/>
        </w:rPr>
        <w:t xml:space="preserve">
      13. Уполномоченное подразделение осуществляет сбор минимальной информации, запрашиваемой у потенциального внешнего управляющего, в соответствии с </w:t>
      </w:r>
      <w:r>
        <w:rPr>
          <w:rFonts w:ascii="Times New Roman"/>
          <w:b w:val="false"/>
          <w:i w:val="false"/>
          <w:color w:val="000000"/>
          <w:sz w:val="28"/>
        </w:rPr>
        <w:t>приложением 1</w:t>
      </w:r>
      <w:r>
        <w:rPr>
          <w:rFonts w:ascii="Times New Roman"/>
          <w:b w:val="false"/>
          <w:i w:val="false"/>
          <w:color w:val="000000"/>
          <w:sz w:val="28"/>
        </w:rPr>
        <w:t xml:space="preserve"> к Правилам, в срок, установленный в объявлении, но не позднее 1 (одного) месяца со дня опубликования на официальном интернет-ресурсе Национального Банка, в сети Интернет объявления.</w:t>
      </w:r>
    </w:p>
    <w:bookmarkEnd w:id="61"/>
    <w:bookmarkStart w:name="z69" w:id="62"/>
    <w:p>
      <w:pPr>
        <w:spacing w:after="0"/>
        <w:ind w:left="0"/>
        <w:jc w:val="both"/>
      </w:pPr>
      <w:r>
        <w:rPr>
          <w:rFonts w:ascii="Times New Roman"/>
          <w:b w:val="false"/>
          <w:i w:val="false"/>
          <w:color w:val="000000"/>
          <w:sz w:val="28"/>
        </w:rPr>
        <w:t xml:space="preserve">
      14. Уполномоченное подразделение проводит сравнительный анализ всех поступивших предложений с учетом обязательных критериев выбора внешних управляющих, установленных </w:t>
      </w:r>
      <w:r>
        <w:rPr>
          <w:rFonts w:ascii="Times New Roman"/>
          <w:b w:val="false"/>
          <w:i w:val="false"/>
          <w:color w:val="000000"/>
          <w:sz w:val="28"/>
        </w:rPr>
        <w:t>пунктом 15</w:t>
      </w:r>
      <w:r>
        <w:rPr>
          <w:rFonts w:ascii="Times New Roman"/>
          <w:b w:val="false"/>
          <w:i w:val="false"/>
          <w:color w:val="000000"/>
          <w:sz w:val="28"/>
        </w:rPr>
        <w:t xml:space="preserve"> Правил.</w:t>
      </w:r>
    </w:p>
    <w:bookmarkEnd w:id="62"/>
    <w:bookmarkStart w:name="z70" w:id="63"/>
    <w:p>
      <w:pPr>
        <w:spacing w:after="0"/>
        <w:ind w:left="0"/>
        <w:jc w:val="both"/>
      </w:pPr>
      <w:r>
        <w:rPr>
          <w:rFonts w:ascii="Times New Roman"/>
          <w:b w:val="false"/>
          <w:i w:val="false"/>
          <w:color w:val="000000"/>
          <w:sz w:val="28"/>
        </w:rPr>
        <w:t xml:space="preserve">
      Если внешний управляющий соответствует обязательным критериям, проводится дальнейшее рассмотрение и анализ предложения по оценочным критериям для сравнительного анализа предложений потенциальных внешних управляющих в соответствии с </w:t>
      </w:r>
      <w:r>
        <w:rPr>
          <w:rFonts w:ascii="Times New Roman"/>
          <w:b w:val="false"/>
          <w:i w:val="false"/>
          <w:color w:val="000000"/>
          <w:sz w:val="28"/>
        </w:rPr>
        <w:t>приложением 2</w:t>
      </w:r>
      <w:r>
        <w:rPr>
          <w:rFonts w:ascii="Times New Roman"/>
          <w:b w:val="false"/>
          <w:i w:val="false"/>
          <w:color w:val="000000"/>
          <w:sz w:val="28"/>
        </w:rPr>
        <w:t xml:space="preserve"> к Правилам.</w:t>
      </w:r>
    </w:p>
    <w:bookmarkEnd w:id="63"/>
    <w:bookmarkStart w:name="z71" w:id="64"/>
    <w:p>
      <w:pPr>
        <w:spacing w:after="0"/>
        <w:ind w:left="0"/>
        <w:jc w:val="both"/>
      </w:pPr>
      <w:r>
        <w:rPr>
          <w:rFonts w:ascii="Times New Roman"/>
          <w:b w:val="false"/>
          <w:i w:val="false"/>
          <w:color w:val="000000"/>
          <w:sz w:val="28"/>
        </w:rPr>
        <w:t xml:space="preserve">
      Оценка предложения потенциального внешнего управляющего осуществляется в соответствии с </w:t>
      </w:r>
      <w:r>
        <w:rPr>
          <w:rFonts w:ascii="Times New Roman"/>
          <w:b w:val="false"/>
          <w:i w:val="false"/>
          <w:color w:val="000000"/>
          <w:sz w:val="28"/>
        </w:rPr>
        <w:t>приложением 3</w:t>
      </w:r>
      <w:r>
        <w:rPr>
          <w:rFonts w:ascii="Times New Roman"/>
          <w:b w:val="false"/>
          <w:i w:val="false"/>
          <w:color w:val="000000"/>
          <w:sz w:val="28"/>
        </w:rPr>
        <w:t xml:space="preserve"> к Правилам.</w:t>
      </w:r>
    </w:p>
    <w:bookmarkEnd w:id="64"/>
    <w:bookmarkStart w:name="z72" w:id="65"/>
    <w:p>
      <w:pPr>
        <w:spacing w:after="0"/>
        <w:ind w:left="0"/>
        <w:jc w:val="both"/>
      </w:pPr>
      <w:r>
        <w:rPr>
          <w:rFonts w:ascii="Times New Roman"/>
          <w:b w:val="false"/>
          <w:i w:val="false"/>
          <w:color w:val="000000"/>
          <w:sz w:val="28"/>
        </w:rPr>
        <w:t>
      15. Следующие обязательные критерии применяются к внешним управляющим, которым в инвестиционное управление передаются пенсионные активы Фонда:</w:t>
      </w:r>
    </w:p>
    <w:bookmarkEnd w:id="65"/>
    <w:bookmarkStart w:name="z73" w:id="66"/>
    <w:p>
      <w:pPr>
        <w:spacing w:after="0"/>
        <w:ind w:left="0"/>
        <w:jc w:val="both"/>
      </w:pPr>
      <w:r>
        <w:rPr>
          <w:rFonts w:ascii="Times New Roman"/>
          <w:b w:val="false"/>
          <w:i w:val="false"/>
          <w:color w:val="000000"/>
          <w:sz w:val="28"/>
        </w:rPr>
        <w:t>
      1) не менее 10 (десяти) лет опыта работы с финансовыми инструментами, в которые предполагается инвестировать пенсионные активы Фонда, из которых не менее 5 (пяти) лет опыта работы по объявленному типу мандата.</w:t>
      </w:r>
    </w:p>
    <w:bookmarkEnd w:id="66"/>
    <w:bookmarkStart w:name="z74" w:id="67"/>
    <w:p>
      <w:pPr>
        <w:spacing w:after="0"/>
        <w:ind w:left="0"/>
        <w:jc w:val="both"/>
      </w:pPr>
      <w:r>
        <w:rPr>
          <w:rFonts w:ascii="Times New Roman"/>
          <w:b w:val="false"/>
          <w:i w:val="false"/>
          <w:color w:val="000000"/>
          <w:sz w:val="28"/>
        </w:rPr>
        <w:t>
      В случае объявления тендера по выбору внешнего управляющего по глобальному мандату опыт работы участника тендера, имеющего под управлением исключительно аналогичные региональные мандаты, охватывающие не менее 75 (семидесяти пяти) процентов всего глобального мандата, составляет не менее 5 (пяти) лет по данным региональным мандатам.</w:t>
      </w:r>
    </w:p>
    <w:bookmarkEnd w:id="67"/>
    <w:bookmarkStart w:name="z75" w:id="68"/>
    <w:p>
      <w:pPr>
        <w:spacing w:after="0"/>
        <w:ind w:left="0"/>
        <w:jc w:val="both"/>
      </w:pPr>
      <w:r>
        <w:rPr>
          <w:rFonts w:ascii="Times New Roman"/>
          <w:b w:val="false"/>
          <w:i w:val="false"/>
          <w:color w:val="000000"/>
          <w:sz w:val="28"/>
        </w:rPr>
        <w:t>
      2) размер активов под управлением: внешний управляющий имеет под управлением совокупные активы клиентов не менее эквивалента 25 (двадцати пяти) миллиардов долларов Соединенных Штатов Америки (далее – США);</w:t>
      </w:r>
    </w:p>
    <w:bookmarkEnd w:id="68"/>
    <w:bookmarkStart w:name="z76" w:id="69"/>
    <w:p>
      <w:pPr>
        <w:spacing w:after="0"/>
        <w:ind w:left="0"/>
        <w:jc w:val="both"/>
      </w:pPr>
      <w:r>
        <w:rPr>
          <w:rFonts w:ascii="Times New Roman"/>
          <w:b w:val="false"/>
          <w:i w:val="false"/>
          <w:color w:val="000000"/>
          <w:sz w:val="28"/>
        </w:rPr>
        <w:t>
      3) размер активов по рассматриваемому типу мандата под управлением: внешний управляющий имеет по рассматриваемому типу мандата совокупные активы клиентов не менее эквивалента 1 (одного) миллиарда долларов США.</w:t>
      </w:r>
    </w:p>
    <w:bookmarkEnd w:id="69"/>
    <w:bookmarkStart w:name="z77" w:id="70"/>
    <w:p>
      <w:pPr>
        <w:spacing w:after="0"/>
        <w:ind w:left="0"/>
        <w:jc w:val="both"/>
      </w:pPr>
      <w:r>
        <w:rPr>
          <w:rFonts w:ascii="Times New Roman"/>
          <w:b w:val="false"/>
          <w:i w:val="false"/>
          <w:color w:val="000000"/>
          <w:sz w:val="28"/>
        </w:rPr>
        <w:t>
      В случае объявления тендера по выбору внешнего управляющего по глобальному мандату размер активов под управлением участника тендера по региональным мандатам, имеющего под управлением исключительно аналогичные региональные мандаты, охватывающие не менее 75 (семидесяти пяти) процентов всего глобального мандата, составляет в сумме не менее 1 (одного) миллиарда долларов США по данным региональным мандатам.</w:t>
      </w:r>
    </w:p>
    <w:bookmarkEnd w:id="70"/>
    <w:bookmarkStart w:name="z78" w:id="71"/>
    <w:p>
      <w:pPr>
        <w:spacing w:after="0"/>
        <w:ind w:left="0"/>
        <w:jc w:val="both"/>
      </w:pPr>
      <w:r>
        <w:rPr>
          <w:rFonts w:ascii="Times New Roman"/>
          <w:b w:val="false"/>
          <w:i w:val="false"/>
          <w:color w:val="000000"/>
          <w:sz w:val="28"/>
        </w:rPr>
        <w:t>
      16. Допускается обращение Национального Банка к клиентам потенциального внешнего управляющего с запросом о результатах и качестве управления активами клиентов.</w:t>
      </w:r>
    </w:p>
    <w:bookmarkEnd w:id="71"/>
    <w:bookmarkStart w:name="z79" w:id="72"/>
    <w:p>
      <w:pPr>
        <w:spacing w:after="0"/>
        <w:ind w:left="0"/>
        <w:jc w:val="both"/>
      </w:pPr>
      <w:r>
        <w:rPr>
          <w:rFonts w:ascii="Times New Roman"/>
          <w:b w:val="false"/>
          <w:i w:val="false"/>
          <w:color w:val="000000"/>
          <w:sz w:val="28"/>
        </w:rPr>
        <w:t>
      17. Срок подготовки уполномоченным подразделением заключения, содержащего сравнительный анализ предложений по внешнему управлению, составляет не более 2 (двух) месяцев со дня представления внешними управляющими запрашиваемой минимальной информации.</w:t>
      </w:r>
    </w:p>
    <w:bookmarkEnd w:id="72"/>
    <w:bookmarkStart w:name="z80" w:id="73"/>
    <w:p>
      <w:pPr>
        <w:spacing w:after="0"/>
        <w:ind w:left="0"/>
        <w:jc w:val="both"/>
      </w:pPr>
      <w:r>
        <w:rPr>
          <w:rFonts w:ascii="Times New Roman"/>
          <w:b w:val="false"/>
          <w:i w:val="false"/>
          <w:color w:val="000000"/>
          <w:sz w:val="28"/>
        </w:rPr>
        <w:t>
      18. Подготовленное уполномоченным подразделением заключение, содержащее сравнительный анализ предложений по внешнему управлению, представляется на рассмотрение Председателю или заместителю Председателя Национального Банка, курирующему уполномоченное подразделение, который по результатам рассмотрения утверждает наиболее выгодные предложения внешних управляющих (короткий список – short list). Уполномоченное подразделение проводит переговоры с потенциальными внешними управляющими из короткого списка – short list для целей улучшения условий предложения.</w:t>
      </w:r>
    </w:p>
    <w:bookmarkEnd w:id="73"/>
    <w:bookmarkStart w:name="z81" w:id="74"/>
    <w:p>
      <w:pPr>
        <w:spacing w:after="0"/>
        <w:ind w:left="0"/>
        <w:jc w:val="both"/>
      </w:pPr>
      <w:r>
        <w:rPr>
          <w:rFonts w:ascii="Times New Roman"/>
          <w:b w:val="false"/>
          <w:i w:val="false"/>
          <w:color w:val="000000"/>
          <w:sz w:val="28"/>
        </w:rPr>
        <w:t>
      19. Допускается проведение встреч с потенциальными внешними управляющими для получения более детальной и точной информации о внешнем управляющем, порядке принятия инвестиционных решений и процедурах контроля за рисками.</w:t>
      </w:r>
    </w:p>
    <w:bookmarkEnd w:id="74"/>
    <w:bookmarkStart w:name="z82" w:id="75"/>
    <w:p>
      <w:pPr>
        <w:spacing w:after="0"/>
        <w:ind w:left="0"/>
        <w:jc w:val="both"/>
      </w:pPr>
      <w:r>
        <w:rPr>
          <w:rFonts w:ascii="Times New Roman"/>
          <w:b w:val="false"/>
          <w:i w:val="false"/>
          <w:color w:val="000000"/>
          <w:sz w:val="28"/>
        </w:rPr>
        <w:t xml:space="preserve">
      20. Каждый внешний управляющий утверждается решением Правления Национального Банка, предусматривающим заключение договора на инвестиционное управление между Национальным Банком и внешним управляющим. </w:t>
      </w:r>
    </w:p>
    <w:bookmarkEnd w:id="75"/>
    <w:bookmarkStart w:name="z83" w:id="76"/>
    <w:p>
      <w:pPr>
        <w:spacing w:after="0"/>
        <w:ind w:left="0"/>
        <w:jc w:val="both"/>
      </w:pPr>
      <w:r>
        <w:rPr>
          <w:rFonts w:ascii="Times New Roman"/>
          <w:b w:val="false"/>
          <w:i w:val="false"/>
          <w:color w:val="000000"/>
          <w:sz w:val="28"/>
        </w:rPr>
        <w:t>
      21. Уполномоченное подразделение в течение 1 (одного) месяца после утверждения Правлением Национального Банка внешнего управляющего направляет в произвольной форме каждому участнику тендера уведомление об итоге тендера.</w:t>
      </w:r>
    </w:p>
    <w:bookmarkEnd w:id="76"/>
    <w:bookmarkStart w:name="z84" w:id="77"/>
    <w:p>
      <w:pPr>
        <w:spacing w:after="0"/>
        <w:ind w:left="0"/>
        <w:jc w:val="both"/>
      </w:pPr>
      <w:r>
        <w:rPr>
          <w:rFonts w:ascii="Times New Roman"/>
          <w:b w:val="false"/>
          <w:i w:val="false"/>
          <w:color w:val="000000"/>
          <w:sz w:val="28"/>
        </w:rPr>
        <w:t>
      22. При выборе внешнего транзитного управляющего уполномоченное подразделение направляет зарубежным организациям, специализирующимся на оказании услуг транзитного управления, запросы на получение информации по рынкам охвата, стратегиям транзитного управления и стоимости услуг в разрезе классов инструментов и рынков. После представления потенциальными внешними транзитными управляющими информации уполномоченное подразделение проводит анализ поступивших предложений и представляет соответствующее заключение Председателю Национального Банка. Внешний транзитный управляющий утверждается Председателем Национального Банка.</w:t>
      </w:r>
    </w:p>
    <w:bookmarkEnd w:id="77"/>
    <w:bookmarkStart w:name="z85" w:id="78"/>
    <w:p>
      <w:pPr>
        <w:spacing w:after="0"/>
        <w:ind w:left="0"/>
        <w:jc w:val="both"/>
      </w:pPr>
      <w:r>
        <w:rPr>
          <w:rFonts w:ascii="Times New Roman"/>
          <w:b w:val="false"/>
          <w:i w:val="false"/>
          <w:color w:val="000000"/>
          <w:sz w:val="28"/>
        </w:rPr>
        <w:t>
      23. На основании решения Правления Национального Банка об утверждении внешнего управляющего или решения Председателя Национального Банка об утверждении внешнего транзитного управляющего уполномоченное подразделение проводит процедуру подготовки и заключения договора на инвестиционное управление с внешним управляющим или внешним транзитным управляющим. Передача пенсионных активов Фонда во внешнее или внешнее транзитное управление осуществляется после подписания договора на инвестиционное управление с внешним управляющим или внешним транзитным управляющим.</w:t>
      </w:r>
    </w:p>
    <w:bookmarkEnd w:id="78"/>
    <w:bookmarkStart w:name="z86" w:id="79"/>
    <w:p>
      <w:pPr>
        <w:spacing w:after="0"/>
        <w:ind w:left="0"/>
        <w:jc w:val="both"/>
      </w:pPr>
      <w:r>
        <w:rPr>
          <w:rFonts w:ascii="Times New Roman"/>
          <w:b w:val="false"/>
          <w:i w:val="false"/>
          <w:color w:val="000000"/>
          <w:sz w:val="28"/>
        </w:rPr>
        <w:t xml:space="preserve">
      24. Договор на инвестиционное управление с внешним управляющим заключается при условии согласия внешнего управляющего на включение требований </w:t>
      </w:r>
      <w:r>
        <w:rPr>
          <w:rFonts w:ascii="Times New Roman"/>
          <w:b w:val="false"/>
          <w:i w:val="false"/>
          <w:color w:val="000000"/>
          <w:sz w:val="28"/>
        </w:rPr>
        <w:t>пункта 25</w:t>
      </w:r>
      <w:r>
        <w:rPr>
          <w:rFonts w:ascii="Times New Roman"/>
          <w:b w:val="false"/>
          <w:i w:val="false"/>
          <w:color w:val="000000"/>
          <w:sz w:val="28"/>
        </w:rPr>
        <w:t xml:space="preserve"> Правил в договор на инвестиционное управление.</w:t>
      </w:r>
    </w:p>
    <w:bookmarkEnd w:id="79"/>
    <w:bookmarkStart w:name="z87" w:id="80"/>
    <w:p>
      <w:pPr>
        <w:spacing w:after="0"/>
        <w:ind w:left="0"/>
        <w:jc w:val="both"/>
      </w:pPr>
      <w:r>
        <w:rPr>
          <w:rFonts w:ascii="Times New Roman"/>
          <w:b w:val="false"/>
          <w:i w:val="false"/>
          <w:color w:val="000000"/>
          <w:sz w:val="28"/>
        </w:rPr>
        <w:t>
      25. В договоре на инвестиционное управление закрепляются следующие обязательные условия:</w:t>
      </w:r>
    </w:p>
    <w:bookmarkEnd w:id="80"/>
    <w:bookmarkStart w:name="z88" w:id="81"/>
    <w:p>
      <w:pPr>
        <w:spacing w:after="0"/>
        <w:ind w:left="0"/>
        <w:jc w:val="both"/>
      </w:pPr>
      <w:r>
        <w:rPr>
          <w:rFonts w:ascii="Times New Roman"/>
          <w:b w:val="false"/>
          <w:i w:val="false"/>
          <w:color w:val="000000"/>
          <w:sz w:val="28"/>
        </w:rPr>
        <w:t>
      1) подписание договора на инвестиционное управление на государственном, русском и ином языке, определенном по согласованию сторон;</w:t>
      </w:r>
    </w:p>
    <w:bookmarkEnd w:id="81"/>
    <w:bookmarkStart w:name="z89" w:id="82"/>
    <w:p>
      <w:pPr>
        <w:spacing w:after="0"/>
        <w:ind w:left="0"/>
        <w:jc w:val="both"/>
      </w:pPr>
      <w:r>
        <w:rPr>
          <w:rFonts w:ascii="Times New Roman"/>
          <w:b w:val="false"/>
          <w:i w:val="false"/>
          <w:color w:val="000000"/>
          <w:sz w:val="28"/>
        </w:rPr>
        <w:t>
      2) представление внешним управляющим информации о передвижении его персонала, ответственного за управление активами Фонда, переданными во внешнее управление;</w:t>
      </w:r>
    </w:p>
    <w:bookmarkEnd w:id="82"/>
    <w:bookmarkStart w:name="z90" w:id="83"/>
    <w:p>
      <w:pPr>
        <w:spacing w:after="0"/>
        <w:ind w:left="0"/>
        <w:jc w:val="both"/>
      </w:pPr>
      <w:r>
        <w:rPr>
          <w:rFonts w:ascii="Times New Roman"/>
          <w:b w:val="false"/>
          <w:i w:val="false"/>
          <w:color w:val="000000"/>
          <w:sz w:val="28"/>
        </w:rPr>
        <w:t>
      3) право Национального Банка по своему усмотрению пополнять (отзывать) активы Фонда, находящиеся во внешнем управлении;</w:t>
      </w:r>
    </w:p>
    <w:bookmarkEnd w:id="83"/>
    <w:bookmarkStart w:name="z91" w:id="84"/>
    <w:p>
      <w:pPr>
        <w:spacing w:after="0"/>
        <w:ind w:left="0"/>
        <w:jc w:val="both"/>
      </w:pPr>
      <w:r>
        <w:rPr>
          <w:rFonts w:ascii="Times New Roman"/>
          <w:b w:val="false"/>
          <w:i w:val="false"/>
          <w:color w:val="000000"/>
          <w:sz w:val="28"/>
        </w:rPr>
        <w:t>
      4) посещение внешнего управляющего работниками Национального Банка и независимыми аудиторами для целей проверки операций по счету, а также получения дополнительной информации о внешнем управляющем, порядке принятия инвестиционных решений и процедурах мониторинга за рисками;</w:t>
      </w:r>
    </w:p>
    <w:bookmarkEnd w:id="84"/>
    <w:bookmarkStart w:name="z92" w:id="85"/>
    <w:p>
      <w:pPr>
        <w:spacing w:after="0"/>
        <w:ind w:left="0"/>
        <w:jc w:val="both"/>
      </w:pPr>
      <w:r>
        <w:rPr>
          <w:rFonts w:ascii="Times New Roman"/>
          <w:b w:val="false"/>
          <w:i w:val="false"/>
          <w:color w:val="000000"/>
          <w:sz w:val="28"/>
        </w:rPr>
        <w:t>
      5) отказ внешнего управляющего от привлечения аффилированных с ним организаций в качестве брокеров и контрпартнеров по сделкам с активами Фонда, переданными во внешнее управление;</w:t>
      </w:r>
    </w:p>
    <w:bookmarkEnd w:id="85"/>
    <w:bookmarkStart w:name="z93" w:id="86"/>
    <w:p>
      <w:pPr>
        <w:spacing w:after="0"/>
        <w:ind w:left="0"/>
        <w:jc w:val="both"/>
      </w:pPr>
      <w:r>
        <w:rPr>
          <w:rFonts w:ascii="Times New Roman"/>
          <w:b w:val="false"/>
          <w:i w:val="false"/>
          <w:color w:val="000000"/>
          <w:sz w:val="28"/>
        </w:rPr>
        <w:t>
      6) ответственность внешнего управляющего за нарушение установленного лимита ожидаемой изменчивости отклонения доходности</w:t>
      </w:r>
      <w:r>
        <w:rPr>
          <w:rFonts w:ascii="Times New Roman"/>
          <w:b w:val="false"/>
          <w:i w:val="false"/>
          <w:color w:val="000000"/>
          <w:sz w:val="28"/>
        </w:rPr>
        <w:t xml:space="preserve"> (</w:t>
      </w:r>
      <w:r>
        <w:rPr>
          <w:rFonts w:ascii="Times New Roman"/>
          <w:b w:val="false"/>
          <w:i w:val="false"/>
          <w:color w:val="000000"/>
          <w:sz w:val="28"/>
        </w:rPr>
        <w:t>еxpected tracking error);</w:t>
      </w:r>
    </w:p>
    <w:bookmarkEnd w:id="86"/>
    <w:bookmarkStart w:name="z94" w:id="87"/>
    <w:p>
      <w:pPr>
        <w:spacing w:after="0"/>
        <w:ind w:left="0"/>
        <w:jc w:val="both"/>
      </w:pPr>
      <w:r>
        <w:rPr>
          <w:rFonts w:ascii="Times New Roman"/>
          <w:b w:val="false"/>
          <w:i w:val="false"/>
          <w:color w:val="000000"/>
          <w:sz w:val="28"/>
        </w:rPr>
        <w:t>
      7) ответственность внешнего управляющего за возможные убытки, причиненные Фонду вследствие небрежности, преднамеренного невыполнения обязательств или мошенничества со стороны внешнего управляющего;</w:t>
      </w:r>
    </w:p>
    <w:bookmarkEnd w:id="87"/>
    <w:bookmarkStart w:name="z95" w:id="88"/>
    <w:p>
      <w:pPr>
        <w:spacing w:after="0"/>
        <w:ind w:left="0"/>
        <w:jc w:val="both"/>
      </w:pPr>
      <w:r>
        <w:rPr>
          <w:rFonts w:ascii="Times New Roman"/>
          <w:b w:val="false"/>
          <w:i w:val="false"/>
          <w:color w:val="000000"/>
          <w:sz w:val="28"/>
        </w:rPr>
        <w:t>
      8) обязательство внешнего управляющего по предоставлению консультационных, обучающих услуг, а также по принятию работников Национального Банка, осуществляющих управление и мониторинг активов Фонда, на стажировку или обучение;</w:t>
      </w:r>
    </w:p>
    <w:bookmarkEnd w:id="88"/>
    <w:bookmarkStart w:name="z96" w:id="89"/>
    <w:p>
      <w:pPr>
        <w:spacing w:after="0"/>
        <w:ind w:left="0"/>
        <w:jc w:val="both"/>
      </w:pPr>
      <w:r>
        <w:rPr>
          <w:rFonts w:ascii="Times New Roman"/>
          <w:b w:val="false"/>
          <w:i w:val="false"/>
          <w:color w:val="000000"/>
          <w:sz w:val="28"/>
        </w:rPr>
        <w:t>
      9) представление в Национальный Банк внешним управляющим сверенной с банком-кастодианом (банками-кастодианами) полной отчетности по портфелю на дату расторжения договора на инвестиционное управление в случае его расторжения;</w:t>
      </w:r>
    </w:p>
    <w:bookmarkEnd w:id="89"/>
    <w:bookmarkStart w:name="z97" w:id="90"/>
    <w:p>
      <w:pPr>
        <w:spacing w:after="0"/>
        <w:ind w:left="0"/>
        <w:jc w:val="both"/>
      </w:pPr>
      <w:r>
        <w:rPr>
          <w:rFonts w:ascii="Times New Roman"/>
          <w:b w:val="false"/>
          <w:i w:val="false"/>
          <w:color w:val="000000"/>
          <w:sz w:val="28"/>
        </w:rPr>
        <w:t xml:space="preserve">
      10) все ожидаемые расходы, связанные с портфелем за период внешнего управления, определяются в соответствии с договором на инвестиционное управление; </w:t>
      </w:r>
    </w:p>
    <w:bookmarkEnd w:id="90"/>
    <w:bookmarkStart w:name="z98" w:id="91"/>
    <w:p>
      <w:pPr>
        <w:spacing w:after="0"/>
        <w:ind w:left="0"/>
        <w:jc w:val="both"/>
      </w:pPr>
      <w:r>
        <w:rPr>
          <w:rFonts w:ascii="Times New Roman"/>
          <w:b w:val="false"/>
          <w:i w:val="false"/>
          <w:color w:val="000000"/>
          <w:sz w:val="28"/>
        </w:rPr>
        <w:t>
      11) представление в Национальный Банк внешним управляющим на регулярной основе отчетности в соответствии со следующими основными направлениями:</w:t>
      </w:r>
    </w:p>
    <w:bookmarkEnd w:id="91"/>
    <w:bookmarkStart w:name="z99" w:id="92"/>
    <w:p>
      <w:pPr>
        <w:spacing w:after="0"/>
        <w:ind w:left="0"/>
        <w:jc w:val="both"/>
      </w:pPr>
      <w:r>
        <w:rPr>
          <w:rFonts w:ascii="Times New Roman"/>
          <w:b w:val="false"/>
          <w:i w:val="false"/>
          <w:color w:val="000000"/>
          <w:sz w:val="28"/>
        </w:rPr>
        <w:t>
      ежедневная отчетность по совершенным за предыдущий рабочий день операциям;</w:t>
      </w:r>
    </w:p>
    <w:bookmarkEnd w:id="92"/>
    <w:bookmarkStart w:name="z100" w:id="93"/>
    <w:p>
      <w:pPr>
        <w:spacing w:after="0"/>
        <w:ind w:left="0"/>
        <w:jc w:val="both"/>
      </w:pPr>
      <w:r>
        <w:rPr>
          <w:rFonts w:ascii="Times New Roman"/>
          <w:b w:val="false"/>
          <w:i w:val="false"/>
          <w:color w:val="000000"/>
          <w:sz w:val="28"/>
        </w:rPr>
        <w:t>
      ежедневная отчетность по позициям портфеля за предыдущий рабочий день;</w:t>
      </w:r>
    </w:p>
    <w:bookmarkEnd w:id="93"/>
    <w:bookmarkStart w:name="z101" w:id="94"/>
    <w:p>
      <w:pPr>
        <w:spacing w:after="0"/>
        <w:ind w:left="0"/>
        <w:jc w:val="both"/>
      </w:pPr>
      <w:r>
        <w:rPr>
          <w:rFonts w:ascii="Times New Roman"/>
          <w:b w:val="false"/>
          <w:i w:val="false"/>
          <w:color w:val="000000"/>
          <w:sz w:val="28"/>
        </w:rPr>
        <w:t>
      оценка портфеля (распределение активов по различным классам и видам валют, состав портфеля на конец отчетного месяца, рыночная стоимость активов на конец отчетного месяца);</w:t>
      </w:r>
    </w:p>
    <w:bookmarkEnd w:id="94"/>
    <w:bookmarkStart w:name="z102" w:id="95"/>
    <w:p>
      <w:pPr>
        <w:spacing w:after="0"/>
        <w:ind w:left="0"/>
        <w:jc w:val="both"/>
      </w:pPr>
      <w:r>
        <w:rPr>
          <w:rFonts w:ascii="Times New Roman"/>
          <w:b w:val="false"/>
          <w:i w:val="false"/>
          <w:color w:val="000000"/>
          <w:sz w:val="28"/>
        </w:rPr>
        <w:t>
      движения в портфеле (перечень всех заключенных за отчетный квартал сделок, отсортированные по различным классам и валютам, погашений, выплат дивидендов и накопленных процентов);</w:t>
      </w:r>
    </w:p>
    <w:bookmarkEnd w:id="95"/>
    <w:bookmarkStart w:name="z103" w:id="96"/>
    <w:p>
      <w:pPr>
        <w:spacing w:after="0"/>
        <w:ind w:left="0"/>
        <w:jc w:val="both"/>
      </w:pPr>
      <w:r>
        <w:rPr>
          <w:rFonts w:ascii="Times New Roman"/>
          <w:b w:val="false"/>
          <w:i w:val="false"/>
          <w:color w:val="000000"/>
          <w:sz w:val="28"/>
        </w:rPr>
        <w:t>
      анализ результатов инвестиционного управления портфелем (для внешнего управления: ежемесячные, квартальные и общие результаты по управлению портфелем в разрезе достигнутой доходности, показателей риска портфеля и уровня изменчивости отклонения доходности (tracking error) в сравнении с эталонным портфелем; для внешнего транзитного управления: разница в стоимости исполнения сделки, комиссионное вознаграждение брокеров, влияние рынка, разница курсов покупки и продажи валюты по форексным операциям, налоги (сборы) и упущенная выгода на дату завершения транзитного периода);</w:t>
      </w:r>
    </w:p>
    <w:bookmarkEnd w:id="96"/>
    <w:bookmarkStart w:name="z104" w:id="97"/>
    <w:p>
      <w:pPr>
        <w:spacing w:after="0"/>
        <w:ind w:left="0"/>
        <w:jc w:val="both"/>
      </w:pPr>
      <w:r>
        <w:rPr>
          <w:rFonts w:ascii="Times New Roman"/>
          <w:b w:val="false"/>
          <w:i w:val="false"/>
          <w:color w:val="000000"/>
          <w:sz w:val="28"/>
        </w:rPr>
        <w:t>
      экономический отчет о состоянии рынков, текущие стратегии и объяснение наиболее важных изменений в структуре управления и их влиянии на портфель в виде презентаций во время визитов внешних управляющих или посредством телефонных конференций;</w:t>
      </w:r>
    </w:p>
    <w:bookmarkEnd w:id="97"/>
    <w:bookmarkStart w:name="z105" w:id="98"/>
    <w:p>
      <w:pPr>
        <w:spacing w:after="0"/>
        <w:ind w:left="0"/>
        <w:jc w:val="both"/>
      </w:pPr>
      <w:r>
        <w:rPr>
          <w:rFonts w:ascii="Times New Roman"/>
          <w:b w:val="false"/>
          <w:i w:val="false"/>
          <w:color w:val="000000"/>
          <w:sz w:val="28"/>
        </w:rPr>
        <w:t>
      вклад различных факторов в доходность портфеля (performance attribution report) для активного типа мандата с периодичностью на конец каждого квартала и года;</w:t>
      </w:r>
    </w:p>
    <w:bookmarkEnd w:id="98"/>
    <w:bookmarkStart w:name="z106" w:id="99"/>
    <w:p>
      <w:pPr>
        <w:spacing w:after="0"/>
        <w:ind w:left="0"/>
        <w:jc w:val="both"/>
      </w:pPr>
      <w:r>
        <w:rPr>
          <w:rFonts w:ascii="Times New Roman"/>
          <w:b w:val="false"/>
          <w:i w:val="false"/>
          <w:color w:val="000000"/>
          <w:sz w:val="28"/>
        </w:rPr>
        <w:t>
      12) ежемесячное, на конец каждого месяца или по требованию Национального Банка, в том числе на дату начала (завершения) транзитного периода, осуществление внешним управляющим сверки состава портфеля, переданного во внешнее управление, с данными банка-кастодиана (банков-кастодианов) в соответствии со сроками, предусмотренными договором на инвестиционное управление;</w:t>
      </w:r>
    </w:p>
    <w:bookmarkEnd w:id="99"/>
    <w:bookmarkStart w:name="z107" w:id="100"/>
    <w:p>
      <w:pPr>
        <w:spacing w:after="0"/>
        <w:ind w:left="0"/>
        <w:jc w:val="both"/>
      </w:pPr>
      <w:r>
        <w:rPr>
          <w:rFonts w:ascii="Times New Roman"/>
          <w:b w:val="false"/>
          <w:i w:val="false"/>
          <w:color w:val="000000"/>
          <w:sz w:val="28"/>
        </w:rPr>
        <w:t>
      13) возможность внесения изменений и (или) дополнений в договор на инвестиционное управление с письменного согласия сторон;</w:t>
      </w:r>
    </w:p>
    <w:bookmarkEnd w:id="100"/>
    <w:bookmarkStart w:name="z108" w:id="101"/>
    <w:p>
      <w:pPr>
        <w:spacing w:after="0"/>
        <w:ind w:left="0"/>
        <w:jc w:val="both"/>
      </w:pPr>
      <w:r>
        <w:rPr>
          <w:rFonts w:ascii="Times New Roman"/>
          <w:b w:val="false"/>
          <w:i w:val="false"/>
          <w:color w:val="000000"/>
          <w:sz w:val="28"/>
        </w:rPr>
        <w:t>
      14) представление внешним управляющим информации о проведенных операциях банку-кастодиану (банкам-кастодианам) в кратчайшие сроки после согласования и завершения процедур подтверждения сделок между внешним управляющим и брокером;</w:t>
      </w:r>
    </w:p>
    <w:bookmarkEnd w:id="101"/>
    <w:bookmarkStart w:name="z109" w:id="102"/>
    <w:p>
      <w:pPr>
        <w:spacing w:after="0"/>
        <w:ind w:left="0"/>
        <w:jc w:val="both"/>
      </w:pPr>
      <w:r>
        <w:rPr>
          <w:rFonts w:ascii="Times New Roman"/>
          <w:b w:val="false"/>
          <w:i w:val="false"/>
          <w:color w:val="000000"/>
          <w:sz w:val="28"/>
        </w:rPr>
        <w:t>
      15) представление внешним управляющим процедур утверждения брокеров, а также агентов и контрпартнеров внешнего управляющего;</w:t>
      </w:r>
    </w:p>
    <w:bookmarkEnd w:id="102"/>
    <w:bookmarkStart w:name="z110" w:id="103"/>
    <w:p>
      <w:pPr>
        <w:spacing w:after="0"/>
        <w:ind w:left="0"/>
        <w:jc w:val="both"/>
      </w:pPr>
      <w:r>
        <w:rPr>
          <w:rFonts w:ascii="Times New Roman"/>
          <w:b w:val="false"/>
          <w:i w:val="false"/>
          <w:color w:val="000000"/>
          <w:sz w:val="28"/>
        </w:rPr>
        <w:t>
      16) представление информации о наличии внутренних политик и процедур управления рисками внешнего управляющего, снижающих риск злоупотреблений и конфликта интересов, в том числе обеспечивающих равноправное распределение сделок среди портфелей клиентов;</w:t>
      </w:r>
    </w:p>
    <w:bookmarkEnd w:id="103"/>
    <w:bookmarkStart w:name="z111" w:id="104"/>
    <w:p>
      <w:pPr>
        <w:spacing w:after="0"/>
        <w:ind w:left="0"/>
        <w:jc w:val="both"/>
      </w:pPr>
      <w:r>
        <w:rPr>
          <w:rFonts w:ascii="Times New Roman"/>
          <w:b w:val="false"/>
          <w:i w:val="false"/>
          <w:color w:val="000000"/>
          <w:sz w:val="28"/>
        </w:rPr>
        <w:t>
      17) проведение внешним управляющим с периодичностью один раз в год встреч с уполномоченным подразделением для представления отчетности о результатах управления активами Фонда, о соблюдении инвестиционных ограничений, оценке рыночной ситуации и ее возможном влиянии на портфель и на осуществление инвестиционных операций по управлению пенсионными активами;</w:t>
      </w:r>
    </w:p>
    <w:bookmarkEnd w:id="104"/>
    <w:bookmarkStart w:name="z112" w:id="105"/>
    <w:p>
      <w:pPr>
        <w:spacing w:after="0"/>
        <w:ind w:left="0"/>
        <w:jc w:val="both"/>
      </w:pPr>
      <w:r>
        <w:rPr>
          <w:rFonts w:ascii="Times New Roman"/>
          <w:b w:val="false"/>
          <w:i w:val="false"/>
          <w:color w:val="000000"/>
          <w:sz w:val="28"/>
        </w:rPr>
        <w:t>
      18) представление внешним управляющим информации о мерах, примененных к нему надзорными органами страны внешнего управляющего в связи с нарушением законодательства такой страны, и об участии в судебных разбирательствах;</w:t>
      </w:r>
    </w:p>
    <w:bookmarkEnd w:id="105"/>
    <w:bookmarkStart w:name="z113" w:id="106"/>
    <w:p>
      <w:pPr>
        <w:spacing w:after="0"/>
        <w:ind w:left="0"/>
        <w:jc w:val="both"/>
      </w:pPr>
      <w:r>
        <w:rPr>
          <w:rFonts w:ascii="Times New Roman"/>
          <w:b w:val="false"/>
          <w:i w:val="false"/>
          <w:color w:val="000000"/>
          <w:sz w:val="28"/>
        </w:rPr>
        <w:t xml:space="preserve">
      19) право Национального Банка в любой момент досрочно расторгнуть договор на инвестиционное управление с внешним управляющим в случаях, предусмотренных </w:t>
      </w:r>
      <w:r>
        <w:rPr>
          <w:rFonts w:ascii="Times New Roman"/>
          <w:b w:val="false"/>
          <w:i w:val="false"/>
          <w:color w:val="000000"/>
          <w:sz w:val="28"/>
        </w:rPr>
        <w:t>пунктом 30</w:t>
      </w:r>
      <w:r>
        <w:rPr>
          <w:rFonts w:ascii="Times New Roman"/>
          <w:b w:val="false"/>
          <w:i w:val="false"/>
          <w:color w:val="000000"/>
          <w:sz w:val="28"/>
        </w:rPr>
        <w:t xml:space="preserve"> Правил.</w:t>
      </w:r>
    </w:p>
    <w:bookmarkEnd w:id="106"/>
    <w:bookmarkStart w:name="z114" w:id="107"/>
    <w:p>
      <w:pPr>
        <w:spacing w:after="0"/>
        <w:ind w:left="0"/>
        <w:jc w:val="both"/>
      </w:pPr>
      <w:r>
        <w:rPr>
          <w:rFonts w:ascii="Times New Roman"/>
          <w:b w:val="false"/>
          <w:i w:val="false"/>
          <w:color w:val="000000"/>
          <w:sz w:val="28"/>
        </w:rPr>
        <w:t>
      26. В соответствии с подписанным договором на инвестиционное управление Национальный Банк осуществляет передачу части пенсионных активов Фонда во внешнее управление путем перевода денег и (или) ценных бумаг на счета Национального Банка у банка-кастодиана (банков-кастодианов), предназначенные для внешнего управления.</w:t>
      </w:r>
    </w:p>
    <w:bookmarkEnd w:id="107"/>
    <w:bookmarkStart w:name="z115" w:id="108"/>
    <w:p>
      <w:pPr>
        <w:spacing w:after="0"/>
        <w:ind w:left="0"/>
        <w:jc w:val="both"/>
      </w:pPr>
      <w:r>
        <w:rPr>
          <w:rFonts w:ascii="Times New Roman"/>
          <w:b w:val="false"/>
          <w:i w:val="false"/>
          <w:color w:val="000000"/>
          <w:sz w:val="28"/>
        </w:rPr>
        <w:t>
      27. При передаче пенсионных активов Фонда во внешнее инвестиционное управление учитывается транзитный период по переводу активов из одного вида в другой (transition period). Длительность транзитного периода не превышает 15 (пятнадцать) рабочих дней.</w:t>
      </w:r>
    </w:p>
    <w:bookmarkEnd w:id="108"/>
    <w:bookmarkStart w:name="z116" w:id="109"/>
    <w:p>
      <w:pPr>
        <w:spacing w:after="0"/>
        <w:ind w:left="0"/>
        <w:jc w:val="both"/>
      </w:pPr>
      <w:r>
        <w:rPr>
          <w:rFonts w:ascii="Times New Roman"/>
          <w:b w:val="false"/>
          <w:i w:val="false"/>
          <w:color w:val="000000"/>
          <w:sz w:val="28"/>
        </w:rPr>
        <w:t>
      28. Часть пенсионных активов Фонда, передаваемая во внешнее управление, хранится на счетах Национального Банка в банках-кастодианах, предназначенных для внешнего управления, и на маржевом счете у клиринговых организаций Фонда, с разрешения Национального Банка.</w:t>
      </w:r>
    </w:p>
    <w:bookmarkEnd w:id="109"/>
    <w:bookmarkStart w:name="z117" w:id="110"/>
    <w:p>
      <w:pPr>
        <w:spacing w:after="0"/>
        <w:ind w:left="0"/>
        <w:jc w:val="both"/>
      </w:pPr>
      <w:r>
        <w:rPr>
          <w:rFonts w:ascii="Times New Roman"/>
          <w:b w:val="false"/>
          <w:i w:val="false"/>
          <w:color w:val="000000"/>
          <w:sz w:val="28"/>
        </w:rPr>
        <w:t>
      29. Условия и ограничения по договору на инвестиционное управление устанавливаются в соответствии с инвестиционной декларацией Фонда.</w:t>
      </w:r>
    </w:p>
    <w:bookmarkEnd w:id="110"/>
    <w:bookmarkStart w:name="z118" w:id="111"/>
    <w:p>
      <w:pPr>
        <w:spacing w:after="0"/>
        <w:ind w:left="0"/>
        <w:jc w:val="both"/>
      </w:pPr>
      <w:r>
        <w:rPr>
          <w:rFonts w:ascii="Times New Roman"/>
          <w:b w:val="false"/>
          <w:i w:val="false"/>
          <w:color w:val="000000"/>
          <w:sz w:val="28"/>
        </w:rPr>
        <w:t>
      30. Допускается досрочное расторжение договора на инвестиционное управление в следующих случаях:</w:t>
      </w:r>
    </w:p>
    <w:bookmarkEnd w:id="111"/>
    <w:bookmarkStart w:name="z119" w:id="112"/>
    <w:p>
      <w:pPr>
        <w:spacing w:after="0"/>
        <w:ind w:left="0"/>
        <w:jc w:val="both"/>
      </w:pPr>
      <w:r>
        <w:rPr>
          <w:rFonts w:ascii="Times New Roman"/>
          <w:b w:val="false"/>
          <w:i w:val="false"/>
          <w:color w:val="000000"/>
          <w:sz w:val="28"/>
        </w:rPr>
        <w:t>
      1) при недостижении внешним управляющим сверхдоходности по управлению портфелем во внешнем управлении по сравнению с эталонным портфелем;</w:t>
      </w:r>
    </w:p>
    <w:bookmarkEnd w:id="112"/>
    <w:bookmarkStart w:name="z120" w:id="113"/>
    <w:p>
      <w:pPr>
        <w:spacing w:after="0"/>
        <w:ind w:left="0"/>
        <w:jc w:val="both"/>
      </w:pPr>
      <w:r>
        <w:rPr>
          <w:rFonts w:ascii="Times New Roman"/>
          <w:b w:val="false"/>
          <w:i w:val="false"/>
          <w:color w:val="000000"/>
          <w:sz w:val="28"/>
        </w:rPr>
        <w:t>
      2) при нарушении условий договора на инвестиционное управление;</w:t>
      </w:r>
    </w:p>
    <w:bookmarkEnd w:id="113"/>
    <w:bookmarkStart w:name="z121" w:id="114"/>
    <w:p>
      <w:pPr>
        <w:spacing w:after="0"/>
        <w:ind w:left="0"/>
        <w:jc w:val="both"/>
      </w:pPr>
      <w:r>
        <w:rPr>
          <w:rFonts w:ascii="Times New Roman"/>
          <w:b w:val="false"/>
          <w:i w:val="false"/>
          <w:color w:val="000000"/>
          <w:sz w:val="28"/>
        </w:rPr>
        <w:t>
      3) при изменении инвестиционной декларации Фонда;</w:t>
      </w:r>
    </w:p>
    <w:bookmarkEnd w:id="114"/>
    <w:bookmarkStart w:name="z122" w:id="115"/>
    <w:p>
      <w:pPr>
        <w:spacing w:after="0"/>
        <w:ind w:left="0"/>
        <w:jc w:val="both"/>
      </w:pPr>
      <w:r>
        <w:rPr>
          <w:rFonts w:ascii="Times New Roman"/>
          <w:b w:val="false"/>
          <w:i w:val="false"/>
          <w:color w:val="000000"/>
          <w:sz w:val="28"/>
        </w:rPr>
        <w:t>
      4) по решению Правления Национального Банка либо Председателя или заместителя Председателя Национального Банка, курирующего уполномоченное подразделение.</w:t>
      </w:r>
    </w:p>
    <w:bookmarkEnd w:id="115"/>
    <w:bookmarkStart w:name="z123" w:id="116"/>
    <w:p>
      <w:pPr>
        <w:spacing w:after="0"/>
        <w:ind w:left="0"/>
        <w:jc w:val="both"/>
      </w:pPr>
      <w:r>
        <w:rPr>
          <w:rFonts w:ascii="Times New Roman"/>
          <w:b w:val="false"/>
          <w:i w:val="false"/>
          <w:color w:val="000000"/>
          <w:sz w:val="28"/>
        </w:rPr>
        <w:t xml:space="preserve">
      31. Требования, установленные </w:t>
      </w:r>
      <w:r>
        <w:rPr>
          <w:rFonts w:ascii="Times New Roman"/>
          <w:b w:val="false"/>
          <w:i w:val="false"/>
          <w:color w:val="000000"/>
          <w:sz w:val="28"/>
        </w:rPr>
        <w:t>пунктом 25</w:t>
      </w:r>
      <w:r>
        <w:rPr>
          <w:rFonts w:ascii="Times New Roman"/>
          <w:b w:val="false"/>
          <w:i w:val="false"/>
          <w:color w:val="000000"/>
          <w:sz w:val="28"/>
        </w:rPr>
        <w:t xml:space="preserve"> (за исключением подпунктов 2), 5), 6), 8), абзаца восьмого подпункта 11), </w:t>
      </w:r>
      <w:r>
        <w:rPr>
          <w:rFonts w:ascii="Times New Roman"/>
          <w:b w:val="false"/>
          <w:i w:val="false"/>
          <w:color w:val="000000"/>
          <w:sz w:val="28"/>
        </w:rPr>
        <w:t>подпункта 17)</w:t>
      </w:r>
      <w:r>
        <w:rPr>
          <w:rFonts w:ascii="Times New Roman"/>
          <w:b w:val="false"/>
          <w:i w:val="false"/>
          <w:color w:val="000000"/>
          <w:sz w:val="28"/>
        </w:rPr>
        <w:t xml:space="preserve"> пункта 25), а также </w:t>
      </w:r>
      <w:r>
        <w:rPr>
          <w:rFonts w:ascii="Times New Roman"/>
          <w:b w:val="false"/>
          <w:i w:val="false"/>
          <w:color w:val="000000"/>
          <w:sz w:val="28"/>
        </w:rPr>
        <w:t>пунктами 26</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и </w:t>
      </w:r>
      <w:r>
        <w:rPr>
          <w:rFonts w:ascii="Times New Roman"/>
          <w:b w:val="false"/>
          <w:i w:val="false"/>
          <w:color w:val="000000"/>
          <w:sz w:val="28"/>
        </w:rPr>
        <w:t>30</w:t>
      </w:r>
      <w:r>
        <w:rPr>
          <w:rFonts w:ascii="Times New Roman"/>
          <w:b w:val="false"/>
          <w:i w:val="false"/>
          <w:color w:val="000000"/>
          <w:sz w:val="28"/>
        </w:rPr>
        <w:t xml:space="preserve"> (за исключением подпункта 1) </w:t>
      </w:r>
      <w:r>
        <w:rPr>
          <w:rFonts w:ascii="Times New Roman"/>
          <w:b w:val="false"/>
          <w:i w:val="false"/>
          <w:color w:val="000000"/>
          <w:sz w:val="28"/>
        </w:rPr>
        <w:t>пункта 30</w:t>
      </w:r>
      <w:r>
        <w:rPr>
          <w:rFonts w:ascii="Times New Roman"/>
          <w:b w:val="false"/>
          <w:i w:val="false"/>
          <w:color w:val="000000"/>
          <w:sz w:val="28"/>
        </w:rPr>
        <w:t>) Правил распространяются на отношения, возникающие между Национальным Банком и внешним транзитным управляющим при осуществлении последним внешнего транзитного управления.</w:t>
      </w:r>
    </w:p>
    <w:bookmarkEnd w:id="116"/>
    <w:bookmarkStart w:name="z124" w:id="117"/>
    <w:p>
      <w:pPr>
        <w:spacing w:after="0"/>
        <w:ind w:left="0"/>
        <w:jc w:val="left"/>
      </w:pPr>
      <w:r>
        <w:rPr>
          <w:rFonts w:ascii="Times New Roman"/>
          <w:b/>
          <w:i w:val="false"/>
          <w:color w:val="000000"/>
        </w:rPr>
        <w:t xml:space="preserve"> Глава 4. Мониторинг и результаты внешнего управления</w:t>
      </w:r>
    </w:p>
    <w:bookmarkEnd w:id="117"/>
    <w:bookmarkStart w:name="z125" w:id="118"/>
    <w:p>
      <w:pPr>
        <w:spacing w:after="0"/>
        <w:ind w:left="0"/>
        <w:jc w:val="both"/>
      </w:pPr>
      <w:r>
        <w:rPr>
          <w:rFonts w:ascii="Times New Roman"/>
          <w:b w:val="false"/>
          <w:i w:val="false"/>
          <w:color w:val="000000"/>
          <w:sz w:val="28"/>
        </w:rPr>
        <w:t>
      32. С момента передачи пенсионных активов Фонда во внешнее управление уполномоченным подразделением проводится ежедневный мониторинг деятельности внешнего управляющего: проверяется соответствие ограничениям, указанным в договоре на инвестиционное управление, осуществляется мониторинг за сделками, совершаемыми внешним управляющим, оцениваются показатели риска и доходности портфеля во внешнем управлении.</w:t>
      </w:r>
    </w:p>
    <w:bookmarkEnd w:id="118"/>
    <w:bookmarkStart w:name="z126" w:id="119"/>
    <w:p>
      <w:pPr>
        <w:spacing w:after="0"/>
        <w:ind w:left="0"/>
        <w:jc w:val="both"/>
      </w:pPr>
      <w:r>
        <w:rPr>
          <w:rFonts w:ascii="Times New Roman"/>
          <w:b w:val="false"/>
          <w:i w:val="false"/>
          <w:color w:val="000000"/>
          <w:sz w:val="28"/>
        </w:rPr>
        <w:t xml:space="preserve">
      33. В целях принятия решения о необходимости частичного пополнения и (или) изъятия части пенсионных активов, или продолжения либо прекращения работы с внешним управляющим уполномоченное подразделение осуществляет оценку эффективности работы внешнего управляющего в соответствии с показателями оценки эффективности работы внешнего управляющего, согласно </w:t>
      </w:r>
      <w:r>
        <w:rPr>
          <w:rFonts w:ascii="Times New Roman"/>
          <w:b w:val="false"/>
          <w:i w:val="false"/>
          <w:color w:val="000000"/>
          <w:sz w:val="28"/>
        </w:rPr>
        <w:t>приложению 4</w:t>
      </w:r>
      <w:r>
        <w:rPr>
          <w:rFonts w:ascii="Times New Roman"/>
          <w:b w:val="false"/>
          <w:i w:val="false"/>
          <w:color w:val="000000"/>
          <w:sz w:val="28"/>
        </w:rPr>
        <w:t xml:space="preserve"> к Правилам, и качества обучения, предоставленного специалистам Национального Банка, на ежегодной основе.</w:t>
      </w:r>
    </w:p>
    <w:bookmarkEnd w:id="119"/>
    <w:bookmarkStart w:name="z127" w:id="120"/>
    <w:p>
      <w:pPr>
        <w:spacing w:after="0"/>
        <w:ind w:left="0"/>
        <w:jc w:val="both"/>
      </w:pPr>
      <w:r>
        <w:rPr>
          <w:rFonts w:ascii="Times New Roman"/>
          <w:b w:val="false"/>
          <w:i w:val="false"/>
          <w:color w:val="000000"/>
          <w:sz w:val="28"/>
        </w:rPr>
        <w:t>
      По результатам оценки эффективности работы внешнего управляющего принимаются решения:</w:t>
      </w:r>
    </w:p>
    <w:bookmarkEnd w:id="120"/>
    <w:bookmarkStart w:name="z128" w:id="121"/>
    <w:p>
      <w:pPr>
        <w:spacing w:after="0"/>
        <w:ind w:left="0"/>
        <w:jc w:val="both"/>
      </w:pPr>
      <w:r>
        <w:rPr>
          <w:rFonts w:ascii="Times New Roman"/>
          <w:b w:val="false"/>
          <w:i w:val="false"/>
          <w:color w:val="000000"/>
          <w:sz w:val="28"/>
        </w:rPr>
        <w:t>
      Правлением Национального Банка о продолжении или прекращении работы с данным внешним управляющим;</w:t>
      </w:r>
    </w:p>
    <w:bookmarkEnd w:id="121"/>
    <w:bookmarkStart w:name="z129" w:id="122"/>
    <w:p>
      <w:pPr>
        <w:spacing w:after="0"/>
        <w:ind w:left="0"/>
        <w:jc w:val="both"/>
      </w:pPr>
      <w:r>
        <w:rPr>
          <w:rFonts w:ascii="Times New Roman"/>
          <w:b w:val="false"/>
          <w:i w:val="false"/>
          <w:color w:val="000000"/>
          <w:sz w:val="28"/>
        </w:rPr>
        <w:t>
      Председателем или заместителем Председателя Национального Банка, курирующим уполномоченное подразделение, о пополнении или изъятии части пенсионных активов.</w:t>
      </w:r>
    </w:p>
    <w:bookmarkEnd w:id="122"/>
    <w:bookmarkStart w:name="z130" w:id="123"/>
    <w:p>
      <w:pPr>
        <w:spacing w:after="0"/>
        <w:ind w:left="0"/>
        <w:jc w:val="both"/>
      </w:pPr>
      <w:r>
        <w:rPr>
          <w:rFonts w:ascii="Times New Roman"/>
          <w:b w:val="false"/>
          <w:i w:val="false"/>
          <w:color w:val="000000"/>
          <w:sz w:val="28"/>
        </w:rPr>
        <w:t xml:space="preserve">
      Решения принимаются на основе результатов управления внешнего управляющего и по классам активов за период управления в 3 (три), 5 (пять) и более лет со дня начала управления внешним управляющим с учетом взимаемого комиссионного вознаграждения. </w:t>
      </w:r>
    </w:p>
    <w:bookmarkEnd w:id="123"/>
    <w:bookmarkStart w:name="z131" w:id="124"/>
    <w:p>
      <w:pPr>
        <w:spacing w:after="0"/>
        <w:ind w:left="0"/>
        <w:jc w:val="both"/>
      </w:pPr>
      <w:r>
        <w:rPr>
          <w:rFonts w:ascii="Times New Roman"/>
          <w:b w:val="false"/>
          <w:i w:val="false"/>
          <w:color w:val="000000"/>
          <w:sz w:val="28"/>
        </w:rPr>
        <w:t xml:space="preserve">
      34. По решению Правления Национального Банка досрочное расторжение договора на инвестиционное управление проводится без процедуры, указанной в </w:t>
      </w:r>
      <w:r>
        <w:rPr>
          <w:rFonts w:ascii="Times New Roman"/>
          <w:b w:val="false"/>
          <w:i w:val="false"/>
          <w:color w:val="000000"/>
          <w:sz w:val="28"/>
        </w:rPr>
        <w:t>пункте 33</w:t>
      </w:r>
      <w:r>
        <w:rPr>
          <w:rFonts w:ascii="Times New Roman"/>
          <w:b w:val="false"/>
          <w:i w:val="false"/>
          <w:color w:val="000000"/>
          <w:sz w:val="28"/>
        </w:rPr>
        <w:t xml:space="preserve"> Правил. По решению Председателя или заместителя Председателя Национального Банка, курирующего уполномоченное подразделение, пополнение или изъятие пенсионных активов у действующего внешнего управляющего проводится без процедуры, указанной в </w:t>
      </w:r>
      <w:r>
        <w:rPr>
          <w:rFonts w:ascii="Times New Roman"/>
          <w:b w:val="false"/>
          <w:i w:val="false"/>
          <w:color w:val="000000"/>
          <w:sz w:val="28"/>
        </w:rPr>
        <w:t>пункте 33</w:t>
      </w:r>
      <w:r>
        <w:rPr>
          <w:rFonts w:ascii="Times New Roman"/>
          <w:b w:val="false"/>
          <w:i w:val="false"/>
          <w:color w:val="000000"/>
          <w:sz w:val="28"/>
        </w:rPr>
        <w:t xml:space="preserve"> Правил.</w:t>
      </w:r>
    </w:p>
    <w:bookmarkEnd w:id="124"/>
    <w:bookmarkStart w:name="z132" w:id="125"/>
    <w:p>
      <w:pPr>
        <w:spacing w:after="0"/>
        <w:ind w:left="0"/>
        <w:jc w:val="both"/>
      </w:pPr>
      <w:r>
        <w:rPr>
          <w:rFonts w:ascii="Times New Roman"/>
          <w:b w:val="false"/>
          <w:i w:val="false"/>
          <w:color w:val="000000"/>
          <w:sz w:val="28"/>
        </w:rPr>
        <w:t>
      35. Отчет о результатах управления внешних управляющих выносится на рассмотрение Правления Национального Банка на ежегодной основе.</w:t>
      </w:r>
    </w:p>
    <w:bookmarkEnd w:id="1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r>
              <w:br/>
            </w:r>
            <w:r>
              <w:rPr>
                <w:rFonts w:ascii="Times New Roman"/>
                <w:b w:val="false"/>
                <w:i w:val="false"/>
                <w:color w:val="000000"/>
                <w:sz w:val="20"/>
              </w:rPr>
              <w:t xml:space="preserve">к Правилам выбора зарубежных </w:t>
            </w:r>
            <w:r>
              <w:br/>
            </w:r>
            <w:r>
              <w:rPr>
                <w:rFonts w:ascii="Times New Roman"/>
                <w:b w:val="false"/>
                <w:i w:val="false"/>
                <w:color w:val="000000"/>
                <w:sz w:val="20"/>
              </w:rPr>
              <w:t xml:space="preserve">организаций, управляющих </w:t>
            </w:r>
            <w:r>
              <w:br/>
            </w:r>
            <w:r>
              <w:rPr>
                <w:rFonts w:ascii="Times New Roman"/>
                <w:b w:val="false"/>
                <w:i w:val="false"/>
                <w:color w:val="000000"/>
                <w:sz w:val="20"/>
              </w:rPr>
              <w:t xml:space="preserve">пенсионными активами единого </w:t>
            </w:r>
            <w:r>
              <w:br/>
            </w:r>
            <w:r>
              <w:rPr>
                <w:rFonts w:ascii="Times New Roman"/>
                <w:b w:val="false"/>
                <w:i w:val="false"/>
                <w:color w:val="000000"/>
                <w:sz w:val="20"/>
              </w:rPr>
              <w:t xml:space="preserve">накопительного пенсионного фонда, </w:t>
            </w:r>
            <w:r>
              <w:br/>
            </w:r>
            <w:r>
              <w:rPr>
                <w:rFonts w:ascii="Times New Roman"/>
                <w:b w:val="false"/>
                <w:i w:val="false"/>
                <w:color w:val="000000"/>
                <w:sz w:val="20"/>
              </w:rPr>
              <w:t xml:space="preserve">включая требования к ним, при </w:t>
            </w:r>
            <w:r>
              <w:br/>
            </w:r>
            <w:r>
              <w:rPr>
                <w:rFonts w:ascii="Times New Roman"/>
                <w:b w:val="false"/>
                <w:i w:val="false"/>
                <w:color w:val="000000"/>
                <w:sz w:val="20"/>
              </w:rPr>
              <w:t xml:space="preserve">поручении им совершать действия, </w:t>
            </w:r>
            <w:r>
              <w:br/>
            </w:r>
            <w:r>
              <w:rPr>
                <w:rFonts w:ascii="Times New Roman"/>
                <w:b w:val="false"/>
                <w:i w:val="false"/>
                <w:color w:val="000000"/>
                <w:sz w:val="20"/>
              </w:rPr>
              <w:t xml:space="preserve">необходимые для управления </w:t>
            </w:r>
            <w:r>
              <w:br/>
            </w:r>
            <w:r>
              <w:rPr>
                <w:rFonts w:ascii="Times New Roman"/>
                <w:b w:val="false"/>
                <w:i w:val="false"/>
                <w:color w:val="000000"/>
                <w:sz w:val="20"/>
              </w:rPr>
              <w:t xml:space="preserve">пенсионными активами единого </w:t>
            </w:r>
            <w:r>
              <w:br/>
            </w:r>
            <w:r>
              <w:rPr>
                <w:rFonts w:ascii="Times New Roman"/>
                <w:b w:val="false"/>
                <w:i w:val="false"/>
                <w:color w:val="000000"/>
                <w:sz w:val="20"/>
              </w:rPr>
              <w:t xml:space="preserve">накопительного пенсионного фонда </w:t>
            </w:r>
          </w:p>
        </w:tc>
      </w:tr>
    </w:tbl>
    <w:bookmarkStart w:name="z134" w:id="126"/>
    <w:p>
      <w:pPr>
        <w:spacing w:after="0"/>
        <w:ind w:left="0"/>
        <w:jc w:val="left"/>
      </w:pPr>
      <w:r>
        <w:rPr>
          <w:rFonts w:ascii="Times New Roman"/>
          <w:b/>
          <w:i w:val="false"/>
          <w:color w:val="000000"/>
        </w:rPr>
        <w:t xml:space="preserve"> Минимальная информация, запрашиваемая у потенциального внешнего управляющего</w:t>
      </w:r>
    </w:p>
    <w:bookmarkEnd w:id="126"/>
    <w:bookmarkStart w:name="z135" w:id="127"/>
    <w:p>
      <w:pPr>
        <w:spacing w:after="0"/>
        <w:ind w:left="0"/>
        <w:jc w:val="both"/>
      </w:pPr>
      <w:r>
        <w:rPr>
          <w:rFonts w:ascii="Times New Roman"/>
          <w:b w:val="false"/>
          <w:i w:val="false"/>
          <w:color w:val="000000"/>
          <w:sz w:val="28"/>
        </w:rPr>
        <w:t>
      1. Опыт работы организации по рассматриваемому типу мандата.</w:t>
      </w:r>
    </w:p>
    <w:bookmarkEnd w:id="127"/>
    <w:bookmarkStart w:name="z136" w:id="128"/>
    <w:p>
      <w:pPr>
        <w:spacing w:after="0"/>
        <w:ind w:left="0"/>
        <w:jc w:val="both"/>
      </w:pPr>
      <w:r>
        <w:rPr>
          <w:rFonts w:ascii="Times New Roman"/>
          <w:b w:val="false"/>
          <w:i w:val="false"/>
          <w:color w:val="000000"/>
          <w:sz w:val="28"/>
        </w:rPr>
        <w:t>
      2. Активы клиентов под управлением за последние 5 (пять) лет, в том числе:</w:t>
      </w:r>
    </w:p>
    <w:bookmarkEnd w:id="128"/>
    <w:bookmarkStart w:name="z137" w:id="129"/>
    <w:p>
      <w:pPr>
        <w:spacing w:after="0"/>
        <w:ind w:left="0"/>
        <w:jc w:val="both"/>
      </w:pPr>
      <w:r>
        <w:rPr>
          <w:rFonts w:ascii="Times New Roman"/>
          <w:b w:val="false"/>
          <w:i w:val="false"/>
          <w:color w:val="000000"/>
          <w:sz w:val="28"/>
        </w:rPr>
        <w:t>
      1) общие активы под управлением;</w:t>
      </w:r>
    </w:p>
    <w:bookmarkEnd w:id="129"/>
    <w:bookmarkStart w:name="z138" w:id="130"/>
    <w:p>
      <w:pPr>
        <w:spacing w:after="0"/>
        <w:ind w:left="0"/>
        <w:jc w:val="both"/>
      </w:pPr>
      <w:r>
        <w:rPr>
          <w:rFonts w:ascii="Times New Roman"/>
          <w:b w:val="false"/>
          <w:i w:val="false"/>
          <w:color w:val="000000"/>
          <w:sz w:val="28"/>
        </w:rPr>
        <w:t>
      2) активы по рассматриваемому типу мандата;</w:t>
      </w:r>
    </w:p>
    <w:bookmarkEnd w:id="130"/>
    <w:bookmarkStart w:name="z139" w:id="131"/>
    <w:p>
      <w:pPr>
        <w:spacing w:after="0"/>
        <w:ind w:left="0"/>
        <w:jc w:val="both"/>
      </w:pPr>
      <w:r>
        <w:rPr>
          <w:rFonts w:ascii="Times New Roman"/>
          <w:b w:val="false"/>
          <w:i w:val="false"/>
          <w:color w:val="000000"/>
          <w:sz w:val="28"/>
        </w:rPr>
        <w:t>
      3) активы институциональных клиентов;</w:t>
      </w:r>
    </w:p>
    <w:bookmarkEnd w:id="131"/>
    <w:bookmarkStart w:name="z140" w:id="132"/>
    <w:p>
      <w:pPr>
        <w:spacing w:after="0"/>
        <w:ind w:left="0"/>
        <w:jc w:val="both"/>
      </w:pPr>
      <w:r>
        <w:rPr>
          <w:rFonts w:ascii="Times New Roman"/>
          <w:b w:val="false"/>
          <w:i w:val="false"/>
          <w:color w:val="000000"/>
          <w:sz w:val="28"/>
        </w:rPr>
        <w:t>
      4) активы центральных банков.</w:t>
      </w:r>
    </w:p>
    <w:bookmarkEnd w:id="132"/>
    <w:bookmarkStart w:name="z141" w:id="133"/>
    <w:p>
      <w:pPr>
        <w:spacing w:after="0"/>
        <w:ind w:left="0"/>
        <w:jc w:val="both"/>
      </w:pPr>
      <w:r>
        <w:rPr>
          <w:rFonts w:ascii="Times New Roman"/>
          <w:b w:val="false"/>
          <w:i w:val="false"/>
          <w:color w:val="000000"/>
          <w:sz w:val="28"/>
        </w:rPr>
        <w:t>
      3. Информация о портфельных менеджерах и менеджерах по связям с клиентами, которые будут ответственными за активы, переданные во внешнее управление.</w:t>
      </w:r>
    </w:p>
    <w:bookmarkEnd w:id="133"/>
    <w:bookmarkStart w:name="z142" w:id="134"/>
    <w:p>
      <w:pPr>
        <w:spacing w:after="0"/>
        <w:ind w:left="0"/>
        <w:jc w:val="both"/>
      </w:pPr>
      <w:r>
        <w:rPr>
          <w:rFonts w:ascii="Times New Roman"/>
          <w:b w:val="false"/>
          <w:i w:val="false"/>
          <w:color w:val="000000"/>
          <w:sz w:val="28"/>
        </w:rPr>
        <w:t>
      4. Информация о текучести персонала за последние 5 (пять) лет среди портфельных менеджеров и аналитиков.</w:t>
      </w:r>
    </w:p>
    <w:bookmarkEnd w:id="134"/>
    <w:bookmarkStart w:name="z143" w:id="135"/>
    <w:p>
      <w:pPr>
        <w:spacing w:after="0"/>
        <w:ind w:left="0"/>
        <w:jc w:val="both"/>
      </w:pPr>
      <w:r>
        <w:rPr>
          <w:rFonts w:ascii="Times New Roman"/>
          <w:b w:val="false"/>
          <w:i w:val="false"/>
          <w:color w:val="000000"/>
          <w:sz w:val="28"/>
        </w:rPr>
        <w:t>
      5. Подробное описание инвестиционного процесса, методов управления портфелем, исследования рынка, используемые источники финансовой информации или модели оценки финансовых инструментов.</w:t>
      </w:r>
    </w:p>
    <w:bookmarkEnd w:id="135"/>
    <w:bookmarkStart w:name="z144" w:id="136"/>
    <w:p>
      <w:pPr>
        <w:spacing w:after="0"/>
        <w:ind w:left="0"/>
        <w:jc w:val="both"/>
      </w:pPr>
      <w:r>
        <w:rPr>
          <w:rFonts w:ascii="Times New Roman"/>
          <w:b w:val="false"/>
          <w:i w:val="false"/>
          <w:color w:val="000000"/>
          <w:sz w:val="28"/>
        </w:rPr>
        <w:t>
      6. Информация о методике осуществления моделирования, мониторинга и управления активным рыночным риском, возникшим при активном управлении активами (если рассматриваемый тип мандата относится к активному управлению активами).</w:t>
      </w:r>
    </w:p>
    <w:bookmarkEnd w:id="136"/>
    <w:bookmarkStart w:name="z145" w:id="137"/>
    <w:p>
      <w:pPr>
        <w:spacing w:after="0"/>
        <w:ind w:left="0"/>
        <w:jc w:val="both"/>
      </w:pPr>
      <w:r>
        <w:rPr>
          <w:rFonts w:ascii="Times New Roman"/>
          <w:b w:val="false"/>
          <w:i w:val="false"/>
          <w:color w:val="000000"/>
          <w:sz w:val="28"/>
        </w:rPr>
        <w:t>
      7. Наличие специализированного программного обеспечения по контролю и управлению рисками.</w:t>
      </w:r>
    </w:p>
    <w:bookmarkEnd w:id="137"/>
    <w:bookmarkStart w:name="z146" w:id="138"/>
    <w:p>
      <w:pPr>
        <w:spacing w:after="0"/>
        <w:ind w:left="0"/>
        <w:jc w:val="both"/>
      </w:pPr>
      <w:r>
        <w:rPr>
          <w:rFonts w:ascii="Times New Roman"/>
          <w:b w:val="false"/>
          <w:i w:val="false"/>
          <w:color w:val="000000"/>
          <w:sz w:val="28"/>
        </w:rPr>
        <w:t>
      8. Исторические результаты управления портфелем с аналогичным или близким эталонным портфелем и типом мандата за последние 5 (пять) лет.</w:t>
      </w:r>
    </w:p>
    <w:bookmarkEnd w:id="138"/>
    <w:bookmarkStart w:name="z147" w:id="139"/>
    <w:p>
      <w:pPr>
        <w:spacing w:after="0"/>
        <w:ind w:left="0"/>
        <w:jc w:val="both"/>
      </w:pPr>
      <w:r>
        <w:rPr>
          <w:rFonts w:ascii="Times New Roman"/>
          <w:b w:val="false"/>
          <w:i w:val="false"/>
          <w:color w:val="000000"/>
          <w:sz w:val="28"/>
        </w:rPr>
        <w:t>
      9. Описание программного обеспечения, используемого для расчета доходности, риска, применяемого в бухгалтерской и аналитической отчетности.</w:t>
      </w:r>
    </w:p>
    <w:bookmarkEnd w:id="139"/>
    <w:bookmarkStart w:name="z148" w:id="140"/>
    <w:p>
      <w:pPr>
        <w:spacing w:after="0"/>
        <w:ind w:left="0"/>
        <w:jc w:val="both"/>
      </w:pPr>
      <w:r>
        <w:rPr>
          <w:rFonts w:ascii="Times New Roman"/>
          <w:b w:val="false"/>
          <w:i w:val="false"/>
          <w:color w:val="000000"/>
          <w:sz w:val="28"/>
        </w:rPr>
        <w:t>
      10. Описание внутренней корпоративной этики.</w:t>
      </w:r>
    </w:p>
    <w:bookmarkEnd w:id="140"/>
    <w:bookmarkStart w:name="z149" w:id="141"/>
    <w:p>
      <w:pPr>
        <w:spacing w:after="0"/>
        <w:ind w:left="0"/>
        <w:jc w:val="both"/>
      </w:pPr>
      <w:r>
        <w:rPr>
          <w:rFonts w:ascii="Times New Roman"/>
          <w:b w:val="false"/>
          <w:i w:val="false"/>
          <w:color w:val="000000"/>
          <w:sz w:val="28"/>
        </w:rPr>
        <w:t>
      11. Ответственность внешнего управляющего перед Национальным Банком в случае нарушения условий договора на инвестиционное управление.</w:t>
      </w:r>
    </w:p>
    <w:bookmarkEnd w:id="141"/>
    <w:bookmarkStart w:name="z150" w:id="142"/>
    <w:p>
      <w:pPr>
        <w:spacing w:after="0"/>
        <w:ind w:left="0"/>
        <w:jc w:val="both"/>
      </w:pPr>
      <w:r>
        <w:rPr>
          <w:rFonts w:ascii="Times New Roman"/>
          <w:b w:val="false"/>
          <w:i w:val="false"/>
          <w:color w:val="000000"/>
          <w:sz w:val="28"/>
        </w:rPr>
        <w:t>
      12. Используемые виды страхования для защиты клиента от ошибок внешнего управляющего.</w:t>
      </w:r>
    </w:p>
    <w:bookmarkEnd w:id="142"/>
    <w:bookmarkStart w:name="z151" w:id="143"/>
    <w:p>
      <w:pPr>
        <w:spacing w:after="0"/>
        <w:ind w:left="0"/>
        <w:jc w:val="both"/>
      </w:pPr>
      <w:r>
        <w:rPr>
          <w:rFonts w:ascii="Times New Roman"/>
          <w:b w:val="false"/>
          <w:i w:val="false"/>
          <w:color w:val="000000"/>
          <w:sz w:val="28"/>
        </w:rPr>
        <w:t>
      13. Кредитный рейтинг головной организации (при наличии), возможность внешнего управляющего предоставить гарантию его головной организации о компенсации ущерба при невыполнении внешним управляющим условий договора на инвестиционное управление с внешним управляющим, либо возможность подписания договора на инвестиционное управление непосредственно с головной организацией, либо в виде трехстороннего договора на инвестиционное управление между Национальным Банком, внешним управляющим и его головной организацией.</w:t>
      </w:r>
    </w:p>
    <w:bookmarkEnd w:id="143"/>
    <w:bookmarkStart w:name="z152" w:id="144"/>
    <w:p>
      <w:pPr>
        <w:spacing w:after="0"/>
        <w:ind w:left="0"/>
        <w:jc w:val="both"/>
      </w:pPr>
      <w:r>
        <w:rPr>
          <w:rFonts w:ascii="Times New Roman"/>
          <w:b w:val="false"/>
          <w:i w:val="false"/>
          <w:color w:val="000000"/>
          <w:sz w:val="28"/>
        </w:rPr>
        <w:t>
      14. Условия предоставляемого для клиентов тренинга.</w:t>
      </w:r>
    </w:p>
    <w:bookmarkEnd w:id="144"/>
    <w:bookmarkStart w:name="z153" w:id="145"/>
    <w:p>
      <w:pPr>
        <w:spacing w:after="0"/>
        <w:ind w:left="0"/>
        <w:jc w:val="both"/>
      </w:pPr>
      <w:r>
        <w:rPr>
          <w:rFonts w:ascii="Times New Roman"/>
          <w:b w:val="false"/>
          <w:i w:val="false"/>
          <w:color w:val="000000"/>
          <w:sz w:val="28"/>
        </w:rPr>
        <w:t>
      15. Информация о предполагаемом уровне комиссии за управление.</w:t>
      </w:r>
    </w:p>
    <w:bookmarkEnd w:id="145"/>
    <w:bookmarkStart w:name="z154" w:id="146"/>
    <w:p>
      <w:pPr>
        <w:spacing w:after="0"/>
        <w:ind w:left="0"/>
        <w:jc w:val="both"/>
      </w:pPr>
      <w:r>
        <w:rPr>
          <w:rFonts w:ascii="Times New Roman"/>
          <w:b w:val="false"/>
          <w:i w:val="false"/>
          <w:color w:val="000000"/>
          <w:sz w:val="28"/>
        </w:rPr>
        <w:t>
      16. Аудиторское заключение финансовой отчетности внешнего управляющего за последний календарный год.</w:t>
      </w:r>
    </w:p>
    <w:bookmarkEnd w:id="146"/>
    <w:bookmarkStart w:name="z155" w:id="147"/>
    <w:p>
      <w:pPr>
        <w:spacing w:after="0"/>
        <w:ind w:left="0"/>
        <w:jc w:val="both"/>
      </w:pPr>
      <w:r>
        <w:rPr>
          <w:rFonts w:ascii="Times New Roman"/>
          <w:b w:val="false"/>
          <w:i w:val="false"/>
          <w:color w:val="000000"/>
          <w:sz w:val="28"/>
        </w:rPr>
        <w:t>
      17. Внутренние политики и процедуры внешнего управляющего, снижающие риск злоупотреблений и конфликта интересов, в том числе обеспечение равноправного и справедливого распределения сделок среди портфелей клиентов, проверка списка и процедуры утверждения брокеров, агентов и контрпартнеров внешнего управляющего.</w:t>
      </w:r>
    </w:p>
    <w:bookmarkEnd w:id="1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br/>
            </w:r>
            <w:r>
              <w:rPr>
                <w:rFonts w:ascii="Times New Roman"/>
                <w:b w:val="false"/>
                <w:i w:val="false"/>
                <w:color w:val="000000"/>
                <w:sz w:val="20"/>
              </w:rPr>
              <w:t xml:space="preserve">к Правилам выбора зарубежных </w:t>
            </w:r>
            <w:r>
              <w:br/>
            </w:r>
            <w:r>
              <w:rPr>
                <w:rFonts w:ascii="Times New Roman"/>
                <w:b w:val="false"/>
                <w:i w:val="false"/>
                <w:color w:val="000000"/>
                <w:sz w:val="20"/>
              </w:rPr>
              <w:t xml:space="preserve">организаций, управляющих </w:t>
            </w:r>
            <w:r>
              <w:br/>
            </w:r>
            <w:r>
              <w:rPr>
                <w:rFonts w:ascii="Times New Roman"/>
                <w:b w:val="false"/>
                <w:i w:val="false"/>
                <w:color w:val="000000"/>
                <w:sz w:val="20"/>
              </w:rPr>
              <w:t xml:space="preserve">пенсионными активами единого </w:t>
            </w:r>
            <w:r>
              <w:br/>
            </w:r>
            <w:r>
              <w:rPr>
                <w:rFonts w:ascii="Times New Roman"/>
                <w:b w:val="false"/>
                <w:i w:val="false"/>
                <w:color w:val="000000"/>
                <w:sz w:val="20"/>
              </w:rPr>
              <w:t xml:space="preserve">накопительного пенсионного фонда, </w:t>
            </w:r>
            <w:r>
              <w:br/>
            </w:r>
            <w:r>
              <w:rPr>
                <w:rFonts w:ascii="Times New Roman"/>
                <w:b w:val="false"/>
                <w:i w:val="false"/>
                <w:color w:val="000000"/>
                <w:sz w:val="20"/>
              </w:rPr>
              <w:t xml:space="preserve">включая требования к ним, при </w:t>
            </w:r>
            <w:r>
              <w:br/>
            </w:r>
            <w:r>
              <w:rPr>
                <w:rFonts w:ascii="Times New Roman"/>
                <w:b w:val="false"/>
                <w:i w:val="false"/>
                <w:color w:val="000000"/>
                <w:sz w:val="20"/>
              </w:rPr>
              <w:t xml:space="preserve">поручении им совершать действия, </w:t>
            </w:r>
            <w:r>
              <w:br/>
            </w:r>
            <w:r>
              <w:rPr>
                <w:rFonts w:ascii="Times New Roman"/>
                <w:b w:val="false"/>
                <w:i w:val="false"/>
                <w:color w:val="000000"/>
                <w:sz w:val="20"/>
              </w:rPr>
              <w:t xml:space="preserve">необходимые для управления </w:t>
            </w:r>
            <w:r>
              <w:br/>
            </w:r>
            <w:r>
              <w:rPr>
                <w:rFonts w:ascii="Times New Roman"/>
                <w:b w:val="false"/>
                <w:i w:val="false"/>
                <w:color w:val="000000"/>
                <w:sz w:val="20"/>
              </w:rPr>
              <w:t xml:space="preserve">пенсионными активами единого </w:t>
            </w:r>
            <w:r>
              <w:br/>
            </w:r>
            <w:r>
              <w:rPr>
                <w:rFonts w:ascii="Times New Roman"/>
                <w:b w:val="false"/>
                <w:i w:val="false"/>
                <w:color w:val="000000"/>
                <w:sz w:val="20"/>
              </w:rPr>
              <w:t xml:space="preserve">накопительного пенсионного фонда </w:t>
            </w:r>
          </w:p>
        </w:tc>
      </w:tr>
    </w:tbl>
    <w:bookmarkStart w:name="z157" w:id="148"/>
    <w:p>
      <w:pPr>
        <w:spacing w:after="0"/>
        <w:ind w:left="0"/>
        <w:jc w:val="left"/>
      </w:pPr>
      <w:r>
        <w:rPr>
          <w:rFonts w:ascii="Times New Roman"/>
          <w:b/>
          <w:i w:val="false"/>
          <w:color w:val="000000"/>
        </w:rPr>
        <w:t xml:space="preserve"> Оценочные критерии для сравнительного анализа предложений потенциальных внешних управляющих</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5"/>
        <w:gridCol w:w="10883"/>
        <w:gridCol w:w="962"/>
      </w:tblGrid>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49"/>
          <w:p>
            <w:pPr>
              <w:spacing w:after="20"/>
              <w:ind w:left="20"/>
              <w:jc w:val="both"/>
            </w:pPr>
            <w:r>
              <w:rPr>
                <w:rFonts w:ascii="Times New Roman"/>
                <w:b w:val="false"/>
                <w:i w:val="false"/>
                <w:color w:val="000000"/>
                <w:sz w:val="20"/>
              </w:rPr>
              <w:t>
 </w:t>
            </w:r>
          </w:p>
          <w:bookmarkEnd w:id="149"/>
        </w:tc>
        <w:tc>
          <w:tcPr>
            <w:tcW w:w="10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Значимость критерия</w:t>
            </w:r>
            <w:r>
              <w:br/>
            </w:r>
            <w:r>
              <w:rPr>
                <w:rFonts w:ascii="Times New Roman"/>
                <w:b w:val="false"/>
                <w:i w:val="false"/>
                <w:color w:val="000000"/>
                <w:sz w:val="20"/>
              </w:rPr>
              <w:t>
(в процентах)</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50"/>
          <w:p>
            <w:pPr>
              <w:spacing w:after="20"/>
              <w:ind w:left="20"/>
              <w:jc w:val="both"/>
            </w:pPr>
            <w:r>
              <w:rPr>
                <w:rFonts w:ascii="Times New Roman"/>
                <w:b w:val="false"/>
                <w:i w:val="false"/>
                <w:color w:val="000000"/>
                <w:sz w:val="20"/>
              </w:rPr>
              <w:t>
1</w:t>
            </w:r>
          </w:p>
          <w:bookmarkEnd w:id="150"/>
        </w:tc>
        <w:tc>
          <w:tcPr>
            <w:tcW w:w="10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Исторические результаты управления портфелем (при проведении сравнительного анализа предложений потенциальных внешних управляющих, специализирующихся на региональных мандатах и участвующих в выборе управляющего по глобальному мандату, показатели нормируются в зависимости от охвата соответствующего мандата)</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показатель сверхдоходности за последние 3–5 лет (если показатель сверхдоходности за период менее 5 лет положительный показатель нормируется относительно периода в 5 лет)</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10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показатель информационного коэффициента за последние 3–5 лет (если показатель информационного коэффициента за период менее 5 лет положительный показатель нормируется относительно периода в 5 лет)</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51"/>
          <w:p>
            <w:pPr>
              <w:spacing w:after="20"/>
              <w:ind w:left="20"/>
              <w:jc w:val="both"/>
            </w:pPr>
            <w:r>
              <w:rPr>
                <w:rFonts w:ascii="Times New Roman"/>
                <w:b w:val="false"/>
                <w:i w:val="false"/>
                <w:color w:val="000000"/>
                <w:sz w:val="20"/>
              </w:rPr>
              <w:t>
2</w:t>
            </w:r>
          </w:p>
          <w:bookmarkEnd w:id="151"/>
        </w:tc>
        <w:tc>
          <w:tcPr>
            <w:tcW w:w="10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 объема активов по данному типу мандата к общим активам под управлением (при проведении сравнительного анализа предложений потенциальных внешних управляющих, специализирующихся на региональных мандатах и участвующих в выборе управляющего по глобальному мандату, используется объем активов по региональным мандатам. Данное значение нормируется в зависимости от охвата соответствующего мандата)</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0" w:type="auto"/>
            <w:vMerge/>
            <w:tcBorders>
              <w:top w:val="nil"/>
              <w:left w:val="single" w:color="cfcfcf" w:sz="5"/>
              <w:bottom w:val="single" w:color="cfcfcf" w:sz="5"/>
              <w:right w:val="single" w:color="cfcfcf" w:sz="5"/>
            </w:tcBorders>
          </w:tcPr>
          <w:p/>
        </w:tc>
        <w:tc>
          <w:tcPr>
            <w:tcW w:w="10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 объема активов институциональных инвесторов к общим активам под управлением</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52"/>
          <w:p>
            <w:pPr>
              <w:spacing w:after="20"/>
              <w:ind w:left="20"/>
              <w:jc w:val="both"/>
            </w:pPr>
            <w:r>
              <w:rPr>
                <w:rFonts w:ascii="Times New Roman"/>
                <w:b w:val="false"/>
                <w:i w:val="false"/>
                <w:color w:val="000000"/>
                <w:sz w:val="20"/>
              </w:rPr>
              <w:t>
3</w:t>
            </w:r>
          </w:p>
          <w:bookmarkEnd w:id="152"/>
        </w:tc>
        <w:tc>
          <w:tcPr>
            <w:tcW w:w="10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опыт работы портфельных менеджеров и аналитиков, ответственных за управление активами</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10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текучесть кадров среди портфельных менеджеров и аналитиков в целом по компании</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53"/>
          <w:p>
            <w:pPr>
              <w:spacing w:after="20"/>
              <w:ind w:left="20"/>
              <w:jc w:val="both"/>
            </w:pPr>
            <w:r>
              <w:rPr>
                <w:rFonts w:ascii="Times New Roman"/>
                <w:b w:val="false"/>
                <w:i w:val="false"/>
                <w:color w:val="000000"/>
                <w:sz w:val="20"/>
              </w:rPr>
              <w:t>
4</w:t>
            </w:r>
          </w:p>
          <w:bookmarkEnd w:id="153"/>
        </w:tc>
        <w:tc>
          <w:tcPr>
            <w:tcW w:w="10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Кредитный статус</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если есть гарантия головной организации либо договор на инвестиционное управление подписывается с головной организацией, то кредитный рейтинг головной организации (S&amp;P или Moody's), в противном случае кредитный рейтинг зарубежной организации (S&amp;P или Moody's)</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54"/>
          <w:p>
            <w:pPr>
              <w:spacing w:after="20"/>
              <w:ind w:left="20"/>
              <w:jc w:val="both"/>
            </w:pPr>
            <w:r>
              <w:rPr>
                <w:rFonts w:ascii="Times New Roman"/>
                <w:b w:val="false"/>
                <w:i w:val="false"/>
                <w:color w:val="000000"/>
                <w:sz w:val="20"/>
              </w:rPr>
              <w:t>
5</w:t>
            </w:r>
          </w:p>
          <w:bookmarkEnd w:id="154"/>
        </w:tc>
        <w:tc>
          <w:tcPr>
            <w:tcW w:w="10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комиссионного вознаграждения за управление</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базового комиссионного вознаграждения</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принципа выплаты комиссионного вознаграждения по результатам внешнего управления в случае достижения положительной сверхдоходности, превышающей аналогичные показатели за прошлые периоды со дня начала управления внешним управляющим (net new high basis since inception)</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установления минимального порога сверхдоходности, с которого начинается расчет комиссионного вознаграждения по результатам внешнего управления, не ниже базового комиссионного вознаграждения</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установления условия оплаты комиссионного вознаграждения по результатам внешнего управления в течение нескольких лет по частям</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55"/>
          <w:p>
            <w:pPr>
              <w:spacing w:after="20"/>
              <w:ind w:left="20"/>
              <w:jc w:val="both"/>
            </w:pPr>
            <w:r>
              <w:rPr>
                <w:rFonts w:ascii="Times New Roman"/>
                <w:b w:val="false"/>
                <w:i w:val="false"/>
                <w:color w:val="000000"/>
                <w:sz w:val="20"/>
              </w:rPr>
              <w:t>
6</w:t>
            </w:r>
          </w:p>
          <w:bookmarkEnd w:id="155"/>
        </w:tc>
        <w:tc>
          <w:tcPr>
            <w:tcW w:w="10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специалистов Национального Банка</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vMerge/>
            <w:tcBorders>
              <w:top w:val="nil"/>
              <w:left w:val="single" w:color="cfcfcf" w:sz="5"/>
              <w:bottom w:val="single" w:color="cfcfcf" w:sz="5"/>
              <w:right w:val="single" w:color="cfcfcf" w:sz="5"/>
            </w:tcBorders>
          </w:tcPr>
          <w:p/>
        </w:tc>
        <w:tc>
          <w:tcPr>
            <w:tcW w:w="10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ежедневная отчетность</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56"/>
          <w:p>
            <w:pPr>
              <w:spacing w:after="20"/>
              <w:ind w:left="20"/>
              <w:jc w:val="both"/>
            </w:pPr>
            <w:r>
              <w:rPr>
                <w:rFonts w:ascii="Times New Roman"/>
                <w:b w:val="false"/>
                <w:i w:val="false"/>
                <w:color w:val="000000"/>
                <w:sz w:val="20"/>
              </w:rPr>
              <w:t>
7</w:t>
            </w:r>
          </w:p>
          <w:bookmarkEnd w:id="156"/>
        </w:tc>
        <w:tc>
          <w:tcPr>
            <w:tcW w:w="10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специализированного программного обеспечения по контролю и управлению рисками</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57"/>
          <w:p>
            <w:pPr>
              <w:spacing w:after="20"/>
              <w:ind w:left="20"/>
              <w:jc w:val="both"/>
            </w:pPr>
            <w:r>
              <w:rPr>
                <w:rFonts w:ascii="Times New Roman"/>
                <w:b w:val="false"/>
                <w:i w:val="false"/>
                <w:color w:val="000000"/>
                <w:sz w:val="20"/>
              </w:rPr>
              <w:t>
8</w:t>
            </w:r>
          </w:p>
          <w:bookmarkEnd w:id="157"/>
        </w:tc>
        <w:tc>
          <w:tcPr>
            <w:tcW w:w="10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Принятие ответственности перед Национальным Банком в случае нарушения условий договора на инвестиционное управление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w:t>
            </w:r>
            <w:r>
              <w:br/>
            </w:r>
            <w:r>
              <w:rPr>
                <w:rFonts w:ascii="Times New Roman"/>
                <w:b w:val="false"/>
                <w:i w:val="false"/>
                <w:color w:val="000000"/>
                <w:sz w:val="20"/>
              </w:rPr>
              <w:t xml:space="preserve">к Правилам выбора зарубежных </w:t>
            </w:r>
            <w:r>
              <w:br/>
            </w:r>
            <w:r>
              <w:rPr>
                <w:rFonts w:ascii="Times New Roman"/>
                <w:b w:val="false"/>
                <w:i w:val="false"/>
                <w:color w:val="000000"/>
                <w:sz w:val="20"/>
              </w:rPr>
              <w:t xml:space="preserve">организаций, управляющих </w:t>
            </w:r>
            <w:r>
              <w:br/>
            </w:r>
            <w:r>
              <w:rPr>
                <w:rFonts w:ascii="Times New Roman"/>
                <w:b w:val="false"/>
                <w:i w:val="false"/>
                <w:color w:val="000000"/>
                <w:sz w:val="20"/>
              </w:rPr>
              <w:t xml:space="preserve">пенсионными активами единого </w:t>
            </w:r>
            <w:r>
              <w:br/>
            </w:r>
            <w:r>
              <w:rPr>
                <w:rFonts w:ascii="Times New Roman"/>
                <w:b w:val="false"/>
                <w:i w:val="false"/>
                <w:color w:val="000000"/>
                <w:sz w:val="20"/>
              </w:rPr>
              <w:t xml:space="preserve">накопительного пенсионного фонда, </w:t>
            </w:r>
            <w:r>
              <w:br/>
            </w:r>
            <w:r>
              <w:rPr>
                <w:rFonts w:ascii="Times New Roman"/>
                <w:b w:val="false"/>
                <w:i w:val="false"/>
                <w:color w:val="000000"/>
                <w:sz w:val="20"/>
              </w:rPr>
              <w:t xml:space="preserve">включая требования к ним, при </w:t>
            </w:r>
            <w:r>
              <w:br/>
            </w:r>
            <w:r>
              <w:rPr>
                <w:rFonts w:ascii="Times New Roman"/>
                <w:b w:val="false"/>
                <w:i w:val="false"/>
                <w:color w:val="000000"/>
                <w:sz w:val="20"/>
              </w:rPr>
              <w:t xml:space="preserve">поручении им совершать действия, </w:t>
            </w:r>
            <w:r>
              <w:br/>
            </w:r>
            <w:r>
              <w:rPr>
                <w:rFonts w:ascii="Times New Roman"/>
                <w:b w:val="false"/>
                <w:i w:val="false"/>
                <w:color w:val="000000"/>
                <w:sz w:val="20"/>
              </w:rPr>
              <w:t xml:space="preserve">необходимые для управления </w:t>
            </w:r>
            <w:r>
              <w:br/>
            </w:r>
            <w:r>
              <w:rPr>
                <w:rFonts w:ascii="Times New Roman"/>
                <w:b w:val="false"/>
                <w:i w:val="false"/>
                <w:color w:val="000000"/>
                <w:sz w:val="20"/>
              </w:rPr>
              <w:t xml:space="preserve">пенсионными активами единого </w:t>
            </w:r>
            <w:r>
              <w:br/>
            </w:r>
            <w:r>
              <w:rPr>
                <w:rFonts w:ascii="Times New Roman"/>
                <w:b w:val="false"/>
                <w:i w:val="false"/>
                <w:color w:val="000000"/>
                <w:sz w:val="20"/>
              </w:rPr>
              <w:t xml:space="preserve">накопительного пенсионного фонда </w:t>
            </w:r>
          </w:p>
        </w:tc>
      </w:tr>
    </w:tbl>
    <w:bookmarkStart w:name="z181" w:id="158"/>
    <w:p>
      <w:pPr>
        <w:spacing w:after="0"/>
        <w:ind w:left="0"/>
        <w:jc w:val="both"/>
      </w:pPr>
      <w:r>
        <w:rPr>
          <w:rFonts w:ascii="Times New Roman"/>
          <w:b w:val="false"/>
          <w:i w:val="false"/>
          <w:color w:val="000000"/>
          <w:sz w:val="28"/>
        </w:rPr>
        <w:t xml:space="preserve">
      </w:t>
      </w:r>
      <w:r>
        <w:rPr>
          <w:rFonts w:ascii="Times New Roman"/>
          <w:b/>
          <w:i w:val="false"/>
          <w:color w:val="000000"/>
          <w:sz w:val="28"/>
        </w:rPr>
        <w:t>Оценка предложения потенциального внешнего управляющего</w:t>
      </w:r>
    </w:p>
    <w:bookmarkEnd w:id="158"/>
    <w:bookmarkStart w:name="z182" w:id="159"/>
    <w:p>
      <w:pPr>
        <w:spacing w:after="0"/>
        <w:ind w:left="0"/>
        <w:jc w:val="both"/>
      </w:pPr>
      <w:r>
        <w:rPr>
          <w:rFonts w:ascii="Times New Roman"/>
          <w:b w:val="false"/>
          <w:i w:val="false"/>
          <w:color w:val="000000"/>
          <w:sz w:val="28"/>
        </w:rPr>
        <w:t>
      1. Оценкой предложения внешнего управляющего служит сумма всех показателей, приведенных в оценочных критериях для сравнительного анализа предложений внешних управляющих (далее – Таблица) с соответствующими весами, выраженными в процентах.</w:t>
      </w:r>
    </w:p>
    <w:bookmarkEnd w:id="159"/>
    <w:bookmarkStart w:name="z183" w:id="160"/>
    <w:p>
      <w:pPr>
        <w:spacing w:after="0"/>
        <w:ind w:left="0"/>
        <w:jc w:val="both"/>
      </w:pPr>
      <w:r>
        <w:rPr>
          <w:rFonts w:ascii="Times New Roman"/>
          <w:b w:val="false"/>
          <w:i w:val="false"/>
          <w:color w:val="000000"/>
          <w:sz w:val="28"/>
        </w:rPr>
        <w:t>
      2. Перед внесением в Таблицу того или иного показателя показатель нормируется относительно лучшего показателя в рассматриваемом критерии с использованием формулы:</w:t>
      </w:r>
    </w:p>
    <w:bookmarkEnd w:id="160"/>
    <w:bookmarkStart w:name="z184" w:id="161"/>
    <w:p>
      <w:pPr>
        <w:spacing w:after="0"/>
        <w:ind w:left="0"/>
        <w:jc w:val="both"/>
      </w:pPr>
      <w:r>
        <w:rPr>
          <w:rFonts w:ascii="Times New Roman"/>
          <w:b w:val="false"/>
          <w:i w:val="false"/>
          <w:color w:val="000000"/>
          <w:sz w:val="28"/>
        </w:rPr>
        <w:t>
      НПУ = ПУ/МЗПВУ, где:</w:t>
      </w:r>
    </w:p>
    <w:bookmarkEnd w:id="161"/>
    <w:bookmarkStart w:name="z185" w:id="162"/>
    <w:p>
      <w:pPr>
        <w:spacing w:after="0"/>
        <w:ind w:left="0"/>
        <w:jc w:val="both"/>
      </w:pPr>
      <w:r>
        <w:rPr>
          <w:rFonts w:ascii="Times New Roman"/>
          <w:b w:val="false"/>
          <w:i w:val="false"/>
          <w:color w:val="000000"/>
          <w:sz w:val="28"/>
        </w:rPr>
        <w:t>
      НПУ – нормированный показатель управляющего;</w:t>
      </w:r>
    </w:p>
    <w:bookmarkEnd w:id="162"/>
    <w:bookmarkStart w:name="z186" w:id="163"/>
    <w:p>
      <w:pPr>
        <w:spacing w:after="0"/>
        <w:ind w:left="0"/>
        <w:jc w:val="both"/>
      </w:pPr>
      <w:r>
        <w:rPr>
          <w:rFonts w:ascii="Times New Roman"/>
          <w:b w:val="false"/>
          <w:i w:val="false"/>
          <w:color w:val="000000"/>
          <w:sz w:val="28"/>
        </w:rPr>
        <w:t>
      ПУ – показатель управляющего;</w:t>
      </w:r>
    </w:p>
    <w:bookmarkEnd w:id="163"/>
    <w:bookmarkStart w:name="z187" w:id="164"/>
    <w:p>
      <w:pPr>
        <w:spacing w:after="0"/>
        <w:ind w:left="0"/>
        <w:jc w:val="both"/>
      </w:pPr>
      <w:r>
        <w:rPr>
          <w:rFonts w:ascii="Times New Roman"/>
          <w:b w:val="false"/>
          <w:i w:val="false"/>
          <w:color w:val="000000"/>
          <w:sz w:val="28"/>
        </w:rPr>
        <w:t>
      МЗПВУ – максимальное значение показателя по всем внешним управляющим.</w:t>
      </w:r>
    </w:p>
    <w:bookmarkEnd w:id="164"/>
    <w:bookmarkStart w:name="z188" w:id="165"/>
    <w:p>
      <w:pPr>
        <w:spacing w:after="0"/>
        <w:ind w:left="0"/>
        <w:jc w:val="both"/>
      </w:pPr>
      <w:r>
        <w:rPr>
          <w:rFonts w:ascii="Times New Roman"/>
          <w:b w:val="false"/>
          <w:i w:val="false"/>
          <w:color w:val="000000"/>
          <w:sz w:val="28"/>
        </w:rPr>
        <w:t>
      3. Если внешний управляющий управляет активами по объявленному типу мандата в рамках другого мандата, то осуществляется оценка исторических результатов управления данными активами в рамках другого мандата.</w:t>
      </w:r>
    </w:p>
    <w:bookmarkEnd w:id="165"/>
    <w:bookmarkStart w:name="z189" w:id="166"/>
    <w:p>
      <w:pPr>
        <w:spacing w:after="0"/>
        <w:ind w:left="0"/>
        <w:jc w:val="both"/>
      </w:pPr>
      <w:r>
        <w:rPr>
          <w:rFonts w:ascii="Times New Roman"/>
          <w:b w:val="false"/>
          <w:i w:val="false"/>
          <w:color w:val="000000"/>
          <w:sz w:val="28"/>
        </w:rPr>
        <w:t>
      4. При оценке кредитного рейтинга головной организации и (или) внешнего управляющего используется следующая система показателей:</w:t>
      </w:r>
    </w:p>
    <w:bookmarkEnd w:id="1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93"/>
        <w:gridCol w:w="4407"/>
      </w:tblGrid>
      <w:tr>
        <w:trPr>
          <w:trHeight w:val="30" w:hRule="atLeast"/>
        </w:trPr>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67"/>
          <w:p>
            <w:pPr>
              <w:spacing w:after="20"/>
              <w:ind w:left="20"/>
              <w:jc w:val="both"/>
            </w:pPr>
            <w:r>
              <w:rPr>
                <w:rFonts w:ascii="Times New Roman"/>
                <w:b w:val="false"/>
                <w:i w:val="false"/>
                <w:color w:val="000000"/>
                <w:sz w:val="20"/>
              </w:rPr>
              <w:t>
Кредитный рейтинг</w:t>
            </w:r>
            <w:r>
              <w:br/>
            </w:r>
            <w:r>
              <w:rPr>
                <w:rFonts w:ascii="Times New Roman"/>
                <w:b w:val="false"/>
                <w:i w:val="false"/>
                <w:color w:val="000000"/>
                <w:sz w:val="20"/>
              </w:rPr>
              <w:t>
(S&amp;P)</w:t>
            </w:r>
          </w:p>
          <w:bookmarkEnd w:id="167"/>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r>
      <w:tr>
        <w:trPr>
          <w:trHeight w:val="30" w:hRule="atLeast"/>
        </w:trPr>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68"/>
          <w:p>
            <w:pPr>
              <w:spacing w:after="20"/>
              <w:ind w:left="20"/>
              <w:jc w:val="both"/>
            </w:pPr>
            <w:r>
              <w:rPr>
                <w:rFonts w:ascii="Times New Roman"/>
                <w:b w:val="false"/>
                <w:i w:val="false"/>
                <w:color w:val="000000"/>
                <w:sz w:val="20"/>
              </w:rPr>
              <w:t>
AAA</w:t>
            </w:r>
          </w:p>
          <w:bookmarkEnd w:id="168"/>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69"/>
          <w:p>
            <w:pPr>
              <w:spacing w:after="20"/>
              <w:ind w:left="20"/>
              <w:jc w:val="both"/>
            </w:pPr>
            <w:r>
              <w:rPr>
                <w:rFonts w:ascii="Times New Roman"/>
                <w:b w:val="false"/>
                <w:i w:val="false"/>
                <w:color w:val="000000"/>
                <w:sz w:val="20"/>
              </w:rPr>
              <w:t>
AA+</w:t>
            </w:r>
          </w:p>
          <w:bookmarkEnd w:id="169"/>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70"/>
          <w:p>
            <w:pPr>
              <w:spacing w:after="20"/>
              <w:ind w:left="20"/>
              <w:jc w:val="both"/>
            </w:pPr>
            <w:r>
              <w:rPr>
                <w:rFonts w:ascii="Times New Roman"/>
                <w:b w:val="false"/>
                <w:i w:val="false"/>
                <w:color w:val="000000"/>
                <w:sz w:val="20"/>
              </w:rPr>
              <w:t>
AA</w:t>
            </w:r>
          </w:p>
          <w:bookmarkEnd w:id="170"/>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71"/>
          <w:p>
            <w:pPr>
              <w:spacing w:after="20"/>
              <w:ind w:left="20"/>
              <w:jc w:val="both"/>
            </w:pPr>
            <w:r>
              <w:rPr>
                <w:rFonts w:ascii="Times New Roman"/>
                <w:b w:val="false"/>
                <w:i w:val="false"/>
                <w:color w:val="000000"/>
                <w:sz w:val="20"/>
              </w:rPr>
              <w:t>
AA-</w:t>
            </w:r>
          </w:p>
          <w:bookmarkEnd w:id="171"/>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72"/>
          <w:p>
            <w:pPr>
              <w:spacing w:after="20"/>
              <w:ind w:left="20"/>
              <w:jc w:val="both"/>
            </w:pPr>
            <w:r>
              <w:rPr>
                <w:rFonts w:ascii="Times New Roman"/>
                <w:b w:val="false"/>
                <w:i w:val="false"/>
                <w:color w:val="000000"/>
                <w:sz w:val="20"/>
              </w:rPr>
              <w:t>
A+</w:t>
            </w:r>
          </w:p>
          <w:bookmarkEnd w:id="172"/>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73"/>
          <w:p>
            <w:pPr>
              <w:spacing w:after="20"/>
              <w:ind w:left="20"/>
              <w:jc w:val="both"/>
            </w:pPr>
            <w:r>
              <w:rPr>
                <w:rFonts w:ascii="Times New Roman"/>
                <w:b w:val="false"/>
                <w:i w:val="false"/>
                <w:color w:val="000000"/>
                <w:sz w:val="20"/>
              </w:rPr>
              <w:t>
A</w:t>
            </w:r>
          </w:p>
          <w:bookmarkEnd w:id="173"/>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74"/>
          <w:p>
            <w:pPr>
              <w:spacing w:after="20"/>
              <w:ind w:left="20"/>
              <w:jc w:val="both"/>
            </w:pPr>
            <w:r>
              <w:rPr>
                <w:rFonts w:ascii="Times New Roman"/>
                <w:b w:val="false"/>
                <w:i w:val="false"/>
                <w:color w:val="000000"/>
                <w:sz w:val="20"/>
              </w:rPr>
              <w:t>
A-</w:t>
            </w:r>
          </w:p>
          <w:bookmarkEnd w:id="174"/>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75"/>
          <w:p>
            <w:pPr>
              <w:spacing w:after="20"/>
              <w:ind w:left="20"/>
              <w:jc w:val="both"/>
            </w:pPr>
            <w:r>
              <w:rPr>
                <w:rFonts w:ascii="Times New Roman"/>
                <w:b w:val="false"/>
                <w:i w:val="false"/>
                <w:color w:val="000000"/>
                <w:sz w:val="20"/>
              </w:rPr>
              <w:t>
ВВВ+</w:t>
            </w:r>
          </w:p>
          <w:bookmarkEnd w:id="175"/>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76"/>
          <w:p>
            <w:pPr>
              <w:spacing w:after="20"/>
              <w:ind w:left="20"/>
              <w:jc w:val="both"/>
            </w:pPr>
            <w:r>
              <w:rPr>
                <w:rFonts w:ascii="Times New Roman"/>
                <w:b w:val="false"/>
                <w:i w:val="false"/>
                <w:color w:val="000000"/>
                <w:sz w:val="20"/>
              </w:rPr>
              <w:t>
ВВВ</w:t>
            </w:r>
          </w:p>
          <w:bookmarkEnd w:id="176"/>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77"/>
          <w:p>
            <w:pPr>
              <w:spacing w:after="20"/>
              <w:ind w:left="20"/>
              <w:jc w:val="both"/>
            </w:pPr>
            <w:r>
              <w:rPr>
                <w:rFonts w:ascii="Times New Roman"/>
                <w:b w:val="false"/>
                <w:i w:val="false"/>
                <w:color w:val="000000"/>
                <w:sz w:val="20"/>
              </w:rPr>
              <w:t>
Ниже ВВВ</w:t>
            </w:r>
          </w:p>
          <w:bookmarkEnd w:id="177"/>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201" w:id="178"/>
    <w:p>
      <w:pPr>
        <w:spacing w:after="0"/>
        <w:ind w:left="0"/>
        <w:jc w:val="both"/>
      </w:pPr>
      <w:r>
        <w:rPr>
          <w:rFonts w:ascii="Times New Roman"/>
          <w:b w:val="false"/>
          <w:i w:val="false"/>
          <w:color w:val="000000"/>
          <w:sz w:val="28"/>
        </w:rPr>
        <w:t>
      5. При оценке обучения работников Национального Банка используется следующая система показателей:</w:t>
      </w:r>
    </w:p>
    <w:bookmarkEnd w:id="1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66"/>
        <w:gridCol w:w="5334"/>
      </w:tblGrid>
      <w:tr>
        <w:trPr>
          <w:trHeight w:val="30" w:hRule="atLeast"/>
        </w:trPr>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79"/>
          <w:p>
            <w:pPr>
              <w:spacing w:after="20"/>
              <w:ind w:left="20"/>
              <w:jc w:val="both"/>
            </w:pPr>
            <w:r>
              <w:rPr>
                <w:rFonts w:ascii="Times New Roman"/>
                <w:b w:val="false"/>
                <w:i w:val="false"/>
                <w:color w:val="000000"/>
                <w:sz w:val="20"/>
              </w:rPr>
              <w:t>
Условия тренинга</w:t>
            </w:r>
          </w:p>
          <w:bookmarkEnd w:id="179"/>
        </w:tc>
        <w:tc>
          <w:tcPr>
            <w:tcW w:w="5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r>
      <w:tr>
        <w:trPr>
          <w:trHeight w:val="30" w:hRule="atLeast"/>
        </w:trPr>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80"/>
          <w:p>
            <w:pPr>
              <w:spacing w:after="20"/>
              <w:ind w:left="20"/>
              <w:jc w:val="both"/>
            </w:pPr>
            <w:r>
              <w:rPr>
                <w:rFonts w:ascii="Times New Roman"/>
                <w:b w:val="false"/>
                <w:i w:val="false"/>
                <w:color w:val="000000"/>
                <w:sz w:val="20"/>
              </w:rPr>
              <w:t>
Внешний управляющий оплачивает перелет, проживание, питание</w:t>
            </w:r>
          </w:p>
          <w:bookmarkEnd w:id="180"/>
        </w:tc>
        <w:tc>
          <w:tcPr>
            <w:tcW w:w="5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81"/>
          <w:p>
            <w:pPr>
              <w:spacing w:after="20"/>
              <w:ind w:left="20"/>
              <w:jc w:val="both"/>
            </w:pPr>
            <w:r>
              <w:rPr>
                <w:rFonts w:ascii="Times New Roman"/>
                <w:b w:val="false"/>
                <w:i w:val="false"/>
                <w:color w:val="000000"/>
                <w:sz w:val="20"/>
              </w:rPr>
              <w:t>
Внешний управляющий оплачивает проживание, питание</w:t>
            </w:r>
          </w:p>
          <w:bookmarkEnd w:id="181"/>
        </w:tc>
        <w:tc>
          <w:tcPr>
            <w:tcW w:w="5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82"/>
          <w:p>
            <w:pPr>
              <w:spacing w:after="20"/>
              <w:ind w:left="20"/>
              <w:jc w:val="both"/>
            </w:pPr>
            <w:r>
              <w:rPr>
                <w:rFonts w:ascii="Times New Roman"/>
                <w:b w:val="false"/>
                <w:i w:val="false"/>
                <w:color w:val="000000"/>
                <w:sz w:val="20"/>
              </w:rPr>
              <w:t>
Внешний управляющий оплачивает проживание</w:t>
            </w:r>
          </w:p>
          <w:bookmarkEnd w:id="182"/>
        </w:tc>
        <w:tc>
          <w:tcPr>
            <w:tcW w:w="5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w:t>
            </w:r>
            <w:r>
              <w:br/>
            </w:r>
            <w:r>
              <w:rPr>
                <w:rFonts w:ascii="Times New Roman"/>
                <w:b w:val="false"/>
                <w:i w:val="false"/>
                <w:color w:val="000000"/>
                <w:sz w:val="20"/>
              </w:rPr>
              <w:t xml:space="preserve">к Правилам выбора зарубежных </w:t>
            </w:r>
            <w:r>
              <w:br/>
            </w:r>
            <w:r>
              <w:rPr>
                <w:rFonts w:ascii="Times New Roman"/>
                <w:b w:val="false"/>
                <w:i w:val="false"/>
                <w:color w:val="000000"/>
                <w:sz w:val="20"/>
              </w:rPr>
              <w:t xml:space="preserve">организаций, управляющих </w:t>
            </w:r>
            <w:r>
              <w:br/>
            </w:r>
            <w:r>
              <w:rPr>
                <w:rFonts w:ascii="Times New Roman"/>
                <w:b w:val="false"/>
                <w:i w:val="false"/>
                <w:color w:val="000000"/>
                <w:sz w:val="20"/>
              </w:rPr>
              <w:t xml:space="preserve">пенсионными активами единого </w:t>
            </w:r>
            <w:r>
              <w:br/>
            </w:r>
            <w:r>
              <w:rPr>
                <w:rFonts w:ascii="Times New Roman"/>
                <w:b w:val="false"/>
                <w:i w:val="false"/>
                <w:color w:val="000000"/>
                <w:sz w:val="20"/>
              </w:rPr>
              <w:t xml:space="preserve">накопительного пенсионного фонда, </w:t>
            </w:r>
            <w:r>
              <w:br/>
            </w:r>
            <w:r>
              <w:rPr>
                <w:rFonts w:ascii="Times New Roman"/>
                <w:b w:val="false"/>
                <w:i w:val="false"/>
                <w:color w:val="000000"/>
                <w:sz w:val="20"/>
              </w:rPr>
              <w:t xml:space="preserve">включая требования к ним, при </w:t>
            </w:r>
            <w:r>
              <w:br/>
            </w:r>
            <w:r>
              <w:rPr>
                <w:rFonts w:ascii="Times New Roman"/>
                <w:b w:val="false"/>
                <w:i w:val="false"/>
                <w:color w:val="000000"/>
                <w:sz w:val="20"/>
              </w:rPr>
              <w:t xml:space="preserve">поручении им совершать действия, </w:t>
            </w:r>
            <w:r>
              <w:br/>
            </w:r>
            <w:r>
              <w:rPr>
                <w:rFonts w:ascii="Times New Roman"/>
                <w:b w:val="false"/>
                <w:i w:val="false"/>
                <w:color w:val="000000"/>
                <w:sz w:val="20"/>
              </w:rPr>
              <w:t xml:space="preserve">необходимые для управления </w:t>
            </w:r>
            <w:r>
              <w:br/>
            </w:r>
            <w:r>
              <w:rPr>
                <w:rFonts w:ascii="Times New Roman"/>
                <w:b w:val="false"/>
                <w:i w:val="false"/>
                <w:color w:val="000000"/>
                <w:sz w:val="20"/>
              </w:rPr>
              <w:t xml:space="preserve">пенсионными активами единого </w:t>
            </w:r>
            <w:r>
              <w:br/>
            </w:r>
            <w:r>
              <w:rPr>
                <w:rFonts w:ascii="Times New Roman"/>
                <w:b w:val="false"/>
                <w:i w:val="false"/>
                <w:color w:val="000000"/>
                <w:sz w:val="20"/>
              </w:rPr>
              <w:t xml:space="preserve">накопительного пенсионного фонда </w:t>
            </w:r>
          </w:p>
        </w:tc>
      </w:tr>
    </w:tbl>
    <w:bookmarkStart w:name="z207" w:id="183"/>
    <w:p>
      <w:pPr>
        <w:spacing w:after="0"/>
        <w:ind w:left="0"/>
        <w:jc w:val="both"/>
      </w:pPr>
      <w:r>
        <w:rPr>
          <w:rFonts w:ascii="Times New Roman"/>
          <w:b w:val="false"/>
          <w:i w:val="false"/>
          <w:color w:val="000000"/>
          <w:sz w:val="28"/>
        </w:rPr>
        <w:t xml:space="preserve">
      </w:t>
      </w:r>
      <w:r>
        <w:rPr>
          <w:rFonts w:ascii="Times New Roman"/>
          <w:b/>
          <w:i w:val="false"/>
          <w:color w:val="000000"/>
          <w:sz w:val="28"/>
        </w:rPr>
        <w:t>Показатели</w:t>
      </w:r>
      <w:r>
        <w:rPr>
          <w:rFonts w:ascii="Times New Roman"/>
          <w:b w:val="false"/>
          <w:i w:val="false"/>
          <w:color w:val="000000"/>
          <w:sz w:val="28"/>
        </w:rPr>
        <w:t xml:space="preserve"> </w:t>
      </w:r>
      <w:r>
        <w:rPr>
          <w:rFonts w:ascii="Times New Roman"/>
          <w:b/>
          <w:i w:val="false"/>
          <w:color w:val="000000"/>
          <w:sz w:val="28"/>
        </w:rPr>
        <w:t>оценки эффективности работы внешнего управляющего</w:t>
      </w:r>
    </w:p>
    <w:bookmarkEnd w:id="183"/>
    <w:bookmarkStart w:name="z208" w:id="184"/>
    <w:p>
      <w:pPr>
        <w:spacing w:after="0"/>
        <w:ind w:left="0"/>
        <w:jc w:val="both"/>
      </w:pPr>
      <w:r>
        <w:rPr>
          <w:rFonts w:ascii="Times New Roman"/>
          <w:b w:val="false"/>
          <w:i w:val="false"/>
          <w:color w:val="000000"/>
          <w:sz w:val="28"/>
        </w:rPr>
        <w:t>
      Основной целью является оценка и выставление баллов внешним управляющим, согласно количественным и качественным показателям во избежание субъективности при оценке работы внешнего управляющего.</w:t>
      </w:r>
    </w:p>
    <w:bookmarkEnd w:id="184"/>
    <w:bookmarkStart w:name="z209" w:id="185"/>
    <w:p>
      <w:pPr>
        <w:spacing w:after="0"/>
        <w:ind w:left="0"/>
        <w:jc w:val="both"/>
      </w:pPr>
      <w:r>
        <w:rPr>
          <w:rFonts w:ascii="Times New Roman"/>
          <w:b w:val="false"/>
          <w:i w:val="false"/>
          <w:color w:val="000000"/>
          <w:sz w:val="28"/>
        </w:rPr>
        <w:t>
      Количественные показатели:</w:t>
      </w:r>
    </w:p>
    <w:bookmarkEnd w:id="185"/>
    <w:bookmarkStart w:name="z210" w:id="186"/>
    <w:p>
      <w:pPr>
        <w:spacing w:after="0"/>
        <w:ind w:left="0"/>
        <w:jc w:val="both"/>
      </w:pPr>
      <w:r>
        <w:rPr>
          <w:rFonts w:ascii="Times New Roman"/>
          <w:b w:val="false"/>
          <w:i w:val="false"/>
          <w:color w:val="000000"/>
          <w:sz w:val="28"/>
        </w:rPr>
        <w:t>
      информационный коэффициент (Information ratio):</w:t>
      </w:r>
    </w:p>
    <w:bookmarkEnd w:id="1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31"/>
        <w:gridCol w:w="7269"/>
      </w:tblGrid>
      <w:tr>
        <w:trPr>
          <w:trHeight w:val="30" w:hRule="atLeast"/>
        </w:trPr>
        <w:tc>
          <w:tcPr>
            <w:tcW w:w="5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87"/>
          <w:p>
            <w:pPr>
              <w:spacing w:after="20"/>
              <w:ind w:left="20"/>
              <w:jc w:val="both"/>
            </w:pPr>
            <w:r>
              <w:rPr>
                <w:rFonts w:ascii="Times New Roman"/>
                <w:b w:val="false"/>
                <w:i w:val="false"/>
                <w:color w:val="000000"/>
                <w:sz w:val="20"/>
              </w:rPr>
              <w:t>
Проценты</w:t>
            </w:r>
          </w:p>
          <w:bookmarkEnd w:id="187"/>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Информационный</w:t>
            </w:r>
            <w:r>
              <w:br/>
            </w:r>
            <w:r>
              <w:rPr>
                <w:rFonts w:ascii="Times New Roman"/>
                <w:b w:val="false"/>
                <w:i w:val="false"/>
                <w:color w:val="000000"/>
                <w:sz w:val="20"/>
              </w:rPr>
              <w:t>
коэффициент</w:t>
            </w:r>
            <w:r>
              <w:br/>
            </w:r>
            <w:r>
              <w:rPr>
                <w:rFonts w:ascii="Times New Roman"/>
                <w:b w:val="false"/>
                <w:i w:val="false"/>
                <w:color w:val="000000"/>
                <w:sz w:val="20"/>
              </w:rPr>
              <w:t>
(Information ratio)</w:t>
            </w:r>
          </w:p>
        </w:tc>
      </w:tr>
      <w:tr>
        <w:trPr>
          <w:trHeight w:val="30" w:hRule="atLeast"/>
        </w:trPr>
        <w:tc>
          <w:tcPr>
            <w:tcW w:w="5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88"/>
          <w:p>
            <w:pPr>
              <w:spacing w:after="20"/>
              <w:ind w:left="20"/>
              <w:jc w:val="both"/>
            </w:pPr>
            <w:r>
              <w:rPr>
                <w:rFonts w:ascii="Times New Roman"/>
                <w:b w:val="false"/>
                <w:i w:val="false"/>
                <w:color w:val="000000"/>
                <w:sz w:val="20"/>
              </w:rPr>
              <w:t>
&gt;1</w:t>
            </w:r>
          </w:p>
          <w:bookmarkEnd w:id="188"/>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балла</w:t>
            </w:r>
          </w:p>
        </w:tc>
      </w:tr>
      <w:tr>
        <w:trPr>
          <w:trHeight w:val="30" w:hRule="atLeast"/>
        </w:trPr>
        <w:tc>
          <w:tcPr>
            <w:tcW w:w="5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89"/>
          <w:p>
            <w:pPr>
              <w:spacing w:after="20"/>
              <w:ind w:left="20"/>
              <w:jc w:val="both"/>
            </w:pPr>
            <w:r>
              <w:rPr>
                <w:rFonts w:ascii="Times New Roman"/>
                <w:b w:val="false"/>
                <w:i w:val="false"/>
                <w:color w:val="000000"/>
                <w:sz w:val="20"/>
              </w:rPr>
              <w:t>
0,5 - 1</w:t>
            </w:r>
          </w:p>
          <w:bookmarkEnd w:id="189"/>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w:t>
            </w:r>
          </w:p>
        </w:tc>
      </w:tr>
      <w:tr>
        <w:trPr>
          <w:trHeight w:val="30" w:hRule="atLeast"/>
        </w:trPr>
        <w:tc>
          <w:tcPr>
            <w:tcW w:w="5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90"/>
          <w:p>
            <w:pPr>
              <w:spacing w:after="20"/>
              <w:ind w:left="20"/>
              <w:jc w:val="both"/>
            </w:pPr>
            <w:r>
              <w:rPr>
                <w:rFonts w:ascii="Times New Roman"/>
                <w:b w:val="false"/>
                <w:i w:val="false"/>
                <w:color w:val="000000"/>
                <w:sz w:val="20"/>
              </w:rPr>
              <w:t>
0 - 0,5</w:t>
            </w:r>
          </w:p>
          <w:bookmarkEnd w:id="190"/>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p>
        </w:tc>
      </w:tr>
      <w:tr>
        <w:trPr>
          <w:trHeight w:val="30" w:hRule="atLeast"/>
        </w:trPr>
        <w:tc>
          <w:tcPr>
            <w:tcW w:w="5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91"/>
          <w:p>
            <w:pPr>
              <w:spacing w:after="20"/>
              <w:ind w:left="20"/>
              <w:jc w:val="both"/>
            </w:pPr>
            <w:r>
              <w:rPr>
                <w:rFonts w:ascii="Times New Roman"/>
                <w:b w:val="false"/>
                <w:i w:val="false"/>
                <w:color w:val="000000"/>
                <w:sz w:val="20"/>
              </w:rPr>
              <w:t>
0</w:t>
            </w:r>
          </w:p>
          <w:bookmarkEnd w:id="191"/>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баллов</w:t>
            </w:r>
          </w:p>
        </w:tc>
      </w:tr>
      <w:tr>
        <w:trPr>
          <w:trHeight w:val="30" w:hRule="atLeast"/>
        </w:trPr>
        <w:tc>
          <w:tcPr>
            <w:tcW w:w="5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92"/>
          <w:p>
            <w:pPr>
              <w:spacing w:after="20"/>
              <w:ind w:left="20"/>
              <w:jc w:val="both"/>
            </w:pPr>
            <w:r>
              <w:rPr>
                <w:rFonts w:ascii="Times New Roman"/>
                <w:b w:val="false"/>
                <w:i w:val="false"/>
                <w:color w:val="000000"/>
                <w:sz w:val="20"/>
              </w:rPr>
              <w:t>
(-) 0,5- 0</w:t>
            </w:r>
          </w:p>
          <w:bookmarkEnd w:id="192"/>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балл</w:t>
            </w:r>
          </w:p>
        </w:tc>
      </w:tr>
      <w:tr>
        <w:trPr>
          <w:trHeight w:val="30" w:hRule="atLeast"/>
        </w:trPr>
        <w:tc>
          <w:tcPr>
            <w:tcW w:w="5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93"/>
          <w:p>
            <w:pPr>
              <w:spacing w:after="20"/>
              <w:ind w:left="20"/>
              <w:jc w:val="both"/>
            </w:pPr>
            <w:r>
              <w:rPr>
                <w:rFonts w:ascii="Times New Roman"/>
                <w:b w:val="false"/>
                <w:i w:val="false"/>
                <w:color w:val="000000"/>
                <w:sz w:val="20"/>
              </w:rPr>
              <w:t>
(-) 1 - (-) 0,5</w:t>
            </w:r>
          </w:p>
          <w:bookmarkEnd w:id="193"/>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балла</w:t>
            </w:r>
          </w:p>
        </w:tc>
      </w:tr>
      <w:tr>
        <w:trPr>
          <w:trHeight w:val="30" w:hRule="atLeast"/>
        </w:trPr>
        <w:tc>
          <w:tcPr>
            <w:tcW w:w="5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94"/>
          <w:p>
            <w:pPr>
              <w:spacing w:after="20"/>
              <w:ind w:left="20"/>
              <w:jc w:val="both"/>
            </w:pPr>
            <w:r>
              <w:rPr>
                <w:rFonts w:ascii="Times New Roman"/>
                <w:b w:val="false"/>
                <w:i w:val="false"/>
                <w:color w:val="000000"/>
                <w:sz w:val="20"/>
              </w:rPr>
              <w:t>
&lt;(-) 1</w:t>
            </w:r>
          </w:p>
          <w:bookmarkEnd w:id="194"/>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балла</w:t>
            </w:r>
          </w:p>
        </w:tc>
      </w:tr>
    </w:tbl>
    <w:bookmarkStart w:name="z219" w:id="195"/>
    <w:p>
      <w:pPr>
        <w:spacing w:after="0"/>
        <w:ind w:left="0"/>
        <w:jc w:val="both"/>
      </w:pPr>
      <w:r>
        <w:rPr>
          <w:rFonts w:ascii="Times New Roman"/>
          <w:b w:val="false"/>
          <w:i w:val="false"/>
          <w:color w:val="000000"/>
          <w:sz w:val="28"/>
        </w:rPr>
        <w:t>
      Качественные показатели:</w:t>
      </w:r>
    </w:p>
    <w:bookmarkEnd w:id="195"/>
    <w:bookmarkStart w:name="z220" w:id="196"/>
    <w:p>
      <w:pPr>
        <w:spacing w:after="0"/>
        <w:ind w:left="0"/>
        <w:jc w:val="both"/>
      </w:pPr>
      <w:r>
        <w:rPr>
          <w:rFonts w:ascii="Times New Roman"/>
          <w:b w:val="false"/>
          <w:i w:val="false"/>
          <w:color w:val="000000"/>
          <w:sz w:val="28"/>
        </w:rPr>
        <w:t>
      1) передвижения персонала (Staff turnover):</w:t>
      </w:r>
    </w:p>
    <w:bookmarkEnd w:id="1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86"/>
        <w:gridCol w:w="8714"/>
      </w:tblGrid>
      <w:tr>
        <w:trPr>
          <w:trHeight w:val="30" w:hRule="atLeast"/>
        </w:trPr>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97"/>
          <w:p>
            <w:pPr>
              <w:spacing w:after="20"/>
              <w:ind w:left="20"/>
              <w:jc w:val="both"/>
            </w:pPr>
            <w:r>
              <w:rPr>
                <w:rFonts w:ascii="Times New Roman"/>
                <w:b w:val="false"/>
                <w:i w:val="false"/>
                <w:color w:val="000000"/>
                <w:sz w:val="20"/>
              </w:rPr>
              <w:t>
Проценты</w:t>
            </w:r>
          </w:p>
          <w:bookmarkEnd w:id="197"/>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Передвижения персонала</w:t>
            </w:r>
            <w:r>
              <w:br/>
            </w:r>
            <w:r>
              <w:rPr>
                <w:rFonts w:ascii="Times New Roman"/>
                <w:b w:val="false"/>
                <w:i w:val="false"/>
                <w:color w:val="000000"/>
                <w:sz w:val="20"/>
              </w:rPr>
              <w:t>
(Staff turnover)</w:t>
            </w:r>
          </w:p>
        </w:tc>
      </w:tr>
      <w:tr>
        <w:trPr>
          <w:trHeight w:val="30" w:hRule="atLeast"/>
        </w:trPr>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98"/>
          <w:p>
            <w:pPr>
              <w:spacing w:after="20"/>
              <w:ind w:left="20"/>
              <w:jc w:val="both"/>
            </w:pPr>
            <w:r>
              <w:rPr>
                <w:rFonts w:ascii="Times New Roman"/>
                <w:b w:val="false"/>
                <w:i w:val="false"/>
                <w:color w:val="000000"/>
                <w:sz w:val="20"/>
              </w:rPr>
              <w:t>
&gt; 30</w:t>
            </w:r>
          </w:p>
          <w:bookmarkEnd w:id="198"/>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0,5 балла</w:t>
            </w:r>
          </w:p>
        </w:tc>
      </w:tr>
      <w:tr>
        <w:trPr>
          <w:trHeight w:val="30" w:hRule="atLeast"/>
        </w:trPr>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99"/>
          <w:p>
            <w:pPr>
              <w:spacing w:after="20"/>
              <w:ind w:left="20"/>
              <w:jc w:val="both"/>
            </w:pPr>
            <w:r>
              <w:rPr>
                <w:rFonts w:ascii="Times New Roman"/>
                <w:b w:val="false"/>
                <w:i w:val="false"/>
                <w:color w:val="000000"/>
                <w:sz w:val="20"/>
              </w:rPr>
              <w:t>
5 - 30</w:t>
            </w:r>
          </w:p>
          <w:bookmarkEnd w:id="199"/>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0,25 балла</w:t>
            </w:r>
          </w:p>
        </w:tc>
      </w:tr>
      <w:tr>
        <w:trPr>
          <w:trHeight w:val="30" w:hRule="atLeast"/>
        </w:trPr>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200"/>
          <w:p>
            <w:pPr>
              <w:spacing w:after="20"/>
              <w:ind w:left="20"/>
              <w:jc w:val="both"/>
            </w:pPr>
            <w:r>
              <w:rPr>
                <w:rFonts w:ascii="Times New Roman"/>
                <w:b w:val="false"/>
                <w:i w:val="false"/>
                <w:color w:val="000000"/>
                <w:sz w:val="20"/>
              </w:rPr>
              <w:t>
0 - 5</w:t>
            </w:r>
          </w:p>
          <w:bookmarkEnd w:id="200"/>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баллов</w:t>
            </w:r>
          </w:p>
        </w:tc>
      </w:tr>
    </w:tbl>
    <w:bookmarkStart w:name="z225" w:id="201"/>
    <w:p>
      <w:pPr>
        <w:spacing w:after="0"/>
        <w:ind w:left="0"/>
        <w:jc w:val="both"/>
      </w:pPr>
      <w:r>
        <w:rPr>
          <w:rFonts w:ascii="Times New Roman"/>
          <w:b w:val="false"/>
          <w:i w:val="false"/>
          <w:color w:val="000000"/>
          <w:sz w:val="28"/>
        </w:rPr>
        <w:t>
      2) операционный риск (Operational risk):</w:t>
      </w:r>
    </w:p>
    <w:bookmarkEnd w:id="201"/>
    <w:bookmarkStart w:name="z226" w:id="202"/>
    <w:p>
      <w:pPr>
        <w:spacing w:after="0"/>
        <w:ind w:left="0"/>
        <w:jc w:val="both"/>
      </w:pPr>
      <w:r>
        <w:rPr>
          <w:rFonts w:ascii="Times New Roman"/>
          <w:b w:val="false"/>
          <w:i w:val="false"/>
          <w:color w:val="000000"/>
          <w:sz w:val="28"/>
        </w:rPr>
        <w:t>
      за каждый факт нарушения инвестиционных ограничений вследствие операционной ошибки из оценки отнимается 0,2 балла;</w:t>
      </w:r>
    </w:p>
    <w:bookmarkEnd w:id="202"/>
    <w:bookmarkStart w:name="z227" w:id="203"/>
    <w:p>
      <w:pPr>
        <w:spacing w:after="0"/>
        <w:ind w:left="0"/>
        <w:jc w:val="both"/>
      </w:pPr>
      <w:r>
        <w:rPr>
          <w:rFonts w:ascii="Times New Roman"/>
          <w:b w:val="false"/>
          <w:i w:val="false"/>
          <w:color w:val="000000"/>
          <w:sz w:val="28"/>
        </w:rPr>
        <w:t>
      в случае систематического (3 и более раза в течение истекшего календарного года) непредставления отчетности в указанные сроки из оценки отнимается 0,2 балла;</w:t>
      </w:r>
    </w:p>
    <w:bookmarkEnd w:id="203"/>
    <w:bookmarkStart w:name="z228" w:id="204"/>
    <w:p>
      <w:pPr>
        <w:spacing w:after="0"/>
        <w:ind w:left="0"/>
        <w:jc w:val="both"/>
      </w:pPr>
      <w:r>
        <w:rPr>
          <w:rFonts w:ascii="Times New Roman"/>
          <w:b w:val="false"/>
          <w:i w:val="false"/>
          <w:color w:val="000000"/>
          <w:sz w:val="28"/>
        </w:rPr>
        <w:t>
      3) соблюдение деловой этики (compliance with a Code of Business Ethics):</w:t>
      </w:r>
    </w:p>
    <w:bookmarkEnd w:id="204"/>
    <w:bookmarkStart w:name="z229" w:id="205"/>
    <w:p>
      <w:pPr>
        <w:spacing w:after="0"/>
        <w:ind w:left="0"/>
        <w:jc w:val="both"/>
      </w:pPr>
      <w:r>
        <w:rPr>
          <w:rFonts w:ascii="Times New Roman"/>
          <w:b w:val="false"/>
          <w:i w:val="false"/>
          <w:color w:val="000000"/>
          <w:sz w:val="28"/>
        </w:rPr>
        <w:t>
      за каждый факт нарушения внешним управляющим деловой этики из оценки отнимается 0,5 балла;</w:t>
      </w:r>
    </w:p>
    <w:bookmarkEnd w:id="205"/>
    <w:bookmarkStart w:name="z230" w:id="206"/>
    <w:p>
      <w:pPr>
        <w:spacing w:after="0"/>
        <w:ind w:left="0"/>
        <w:jc w:val="both"/>
      </w:pPr>
      <w:r>
        <w:rPr>
          <w:rFonts w:ascii="Times New Roman"/>
          <w:b w:val="false"/>
          <w:i w:val="false"/>
          <w:color w:val="000000"/>
          <w:sz w:val="28"/>
        </w:rPr>
        <w:t>
      в случае систематического (3 и более раза в течение истекшего календарного года) несвоевременного исполнения поручений Национального Банка в соответствии с договором на инвестиционное управление из оценки отнимается 0,5 балла.</w:t>
      </w:r>
    </w:p>
    <w:bookmarkEnd w:id="20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