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1d1a" w14:textId="de11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внутренних дел Республики Казахстан от 5 декабря 2015 года № 995 "Об утверждении Типового положения о Консультативно-совещательных органах при территориальных органах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сентября 2017 года № 651. Зарегистрирован в Министерстве юстиции Республики Казахстан 17 октября 2017 года № 15900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декабря 2015 года № 995 "Об утверждении Типового положения о консультативно-совещательных органах при территориальных органах внутренних дел" (зарегистрирован в Реестре государственной регистрации нормативных правовых актов № 12553, опубликован в информационно-правовой системе "Әділет" 13 января 2016 года)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консультативно-совещательных органах при территориальных органах внутренних дел, утвержденное указанным приказом: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5-1. Рассмотрение консультативно-совещательным органом обращений физических и юридических лиц по вопросам совершенствования государственного управления и организации прозрачной работы государственного аппарата, включая соблюдение норм служебной этики.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45-1. Устные и письменные обращения физических и юридических лиц по вопросам совершенствования государственного управления и организации прозрачной работы государственного аппарата, включая соблюдение норм служебной этики, адресованные в консультативно-совещательный орган рассматриваются в пределах компетенции.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45-2. Предметом рассмотрения могут быть нарушения этических норм, касающийся официального поведения, делового этикета, стандартов поведения во внеслужебное время,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Этическим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(Правила служебной этики государственных служащих), утвержденным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Казахстан", а также нарушений этических норм сотрудниками органов внутренних дел, повлекшие общественный резонанс, широкое освещение в средствах массовой информации и социальных сетях.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45-3. В случае, если рассмотрение обращения относится к компетенции и полномочиям иных государственных органов, обращение направляется по принадлежности в сроки и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 (далее-Закон).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45-4. Поступившие обращения, рассматриваются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со дня их поступления в консультативно-совещательный орган.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45-5. Консультативно-совещательный орган осуществляет прием граждан, в том числе с участием представителей структурных подразделений органа внутренних дел.".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языках, заверенной гербовой печатью,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и 3)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кадровой работы Министерства внутренних дел Республики Казахстан (Абдигалиев А.У.).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