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ccd3" w14:textId="9f8c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сентября 2017 года № 637. Зарегистрирован в Министерстве юстиции Республики Казахстан 5 октября 2017 года № 15844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 (зарегистрирован в Реестре государственной регистрации нормативных правовых актов за № 9922, опубликован 13 января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Объеме и содержании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инженерно-технических мероприятий гражданской обороны,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Инженерно-технические мероприятия гражданской обороны предусматривают для убежищ обеспечения защиты укрываемых от воздействия избыточного давления во фронте воздушной ударной волны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=100 кПа (1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избыточное давление во фронте воздушной ударной волны) и иметь степень ослабления проникающей радиации ограждающими конструкциями (А) равную 1000.".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