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c82122" w14:textId="1c821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ведения специальной таможенной статистики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24 августа 2017 года № 521. Зарегистрирован в Министерстве юстиции Республики Казахстан 28 сентября 2017 года № 15778. Утратил силу приказом Министра финансов Республики Казахстан от 25 января 2018 года № 64 (вводится в действие по истечении десяти календарных дней после дня его первого официального опубликования)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25.01.2018 </w:t>
      </w:r>
      <w:r>
        <w:rPr>
          <w:rFonts w:ascii="Times New Roman"/>
          <w:b w:val="false"/>
          <w:i w:val="false"/>
          <w:color w:val="ff0000"/>
          <w:sz w:val="28"/>
        </w:rPr>
        <w:t>№ 64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Кодекса Республики Казахстан от 30 июня 2010 года "О таможенном деле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от 19 марта 2010 года "О государственной статистике" в целях систематизированного ведения специальной таможенной статистики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ведения специальной таможенной статистики к настоящему приказу.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Комитету государственных доходов Министерства финансов Республики Казахстан (Тенгебаев А. М.) в установленном законодательством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"СОГЛАСОВАН"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Председатель Комитета по статистике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Министерства национальной экономики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_______________ Н. Айдапкелов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"___" _________ 2017 года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Министра финансов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24 августа 2017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521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ведения специальной таможенной статистики</w:t>
      </w:r>
    </w:p>
    <w:bookmarkEnd w:id="8"/>
    <w:bookmarkStart w:name="z15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ведения специальной таможенной статистики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Кодекса Республики Казахстан от 30 июня 2010 года "О таможенном деле в Республике Казахстан" (далее – Кодекс) и определяют порядок ведения специальной таможенной статистики (сбора, формирования и представления данных) структурными подразделениями Комитета государственных доходов Министерства финансов Республики Казахстан (далее - Комитет).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Специальная таможенная статистика представляет собой совокупность систематизированных сведений, необходимых для выполнения задач, возложенных на органы государственных доходов.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Задачами специальной таможенной статистики являются: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предоставление на регулярной основе количественной информации о деятельности органов государственных доходов в неразрывной связи с качественными характеристиками;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оптимизация отчетности, предоставляемой территориальными органами государственных доходов;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дальнейшая разработка количественных показателей специальной таможенной статистики для обеспечения контроля и эффективности деятельности в сфере таможенного дела территориальных органов государственных доходов.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Объектом учета специальной таможенной статистики являются сведения о деятельности органов государственных доходов в сфере таможенного дела.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К объектам учета специальной таможенной статистики отнесены следующие сведения: 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 организационной структуре системы органов государственных доходов, в том числе показатели по кадровому составу;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об осуществлении порядка процедур перемещения товаров;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 лицах, осуществляющих деятельность в сфере таможенного дела;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о таможенных платежах и налогах;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о таможенном контроле и оформлении. 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Данные специальной таможенной статистики формируются и используются органами государственных доходов в целях выполнения задач, возложенных на них.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На сведения, используемые для статистических целей, распространяются положения статьи 16 Кодекса.</w:t>
      </w:r>
    </w:p>
    <w:bookmarkEnd w:id="24"/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ведения специальной таможенной статистики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Ведение специальной таможенной статистики осуществляется путем сбора и обработки данных, необходимых для формирования специальной таможенной статистики.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Источниками данных на этапах предварительного и основного таможенного оформления и таможенного контроля для формирования специальной таможенной статистики являются следующие документы: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декларации на товары; </w:t>
      </w:r>
    </w:p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пассажирские таможенные декларации; 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таможенные приходные ордера; 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транзитные декларации; </w:t>
      </w:r>
    </w:p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отчетные данные территориальных органов государственных доходов.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10. Сбор и формирование данных специальной таможенной статистики осуществляется соответствующими структурными подразделениями Комитета на основании сведений, содержащихся в информационных системах Комитета и статистической отчетности, предоставляемой территориальными органами государственных доходов. 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Для формирования сводной ежемесячной (с нарастающим итогом) и годовой статистической информации, структурные подразделения Комитета ежемесячно, не позднее пяти рабочих дней, следующих за отчетным периодом, представляют в структурное подразделение, осуществляющее координацию деятельности Комитета в части свода данных специальной таможенной статистики Республики Казахстан, необходимые сведения по каждому показателю.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Ежемесячная сводная статистическая информация формируется к 10 числу месяца, следующего за отчетным периодом. Ежегодная сводная статистическая информация - к 15 числу первого месяца, следующего за отчетным годом.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Структурное подразделение, осуществляющее координацию деятельности Комитета в части свода данных специальной таможенной статистики Республики Казахстан, после осуществления сбора сводной информации, сведения специальной таможенной статистики размещает на ftp – ресурсе Комитета (ftp://192.168.204.210) согласно форме, представленной в соответствии с приложением "Основные показатели деятельности Комитета государственных доходов Министерства финансов Республики Казахстан" к настоящим Правилам.</w:t>
      </w:r>
    </w:p>
    <w:bookmarkEnd w:id="34"/>
    <w:bookmarkStart w:name="z43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Заключительные положения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Ответственность за полноту, достоверность и своевременность предоставления специальной таможенной статистики, предусмотренную </w:t>
      </w:r>
      <w:r>
        <w:rPr>
          <w:rFonts w:ascii="Times New Roman"/>
          <w:b w:val="false"/>
          <w:i w:val="false"/>
          <w:color w:val="000000"/>
          <w:sz w:val="28"/>
        </w:rPr>
        <w:t>статьей 43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службе Республики Казахстан", несут руководители соответствующих структурных подразделений Комитета.</w:t>
      </w:r>
    </w:p>
    <w:bookmarkEnd w:id="3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специальной 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статистики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Форма, предназначенная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47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Основные показатели деятельности Комитета государственных доходов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                   Министерства финансов Республики Казахстан</w:t>
      </w:r>
    </w:p>
    <w:bookmarkEnd w:id="37"/>
    <w:bookmarkStart w:name="z48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                        ОтчҰтный период "__" _________ 20__год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Индекс: 1-ТС</w:t>
      </w:r>
    </w:p>
    <w:bookmarkEnd w:id="39"/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Периодичность: ежемесячная/годовая.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Представляют: структурные подразделения Комитета государственных доходов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Министерства финансов Республики Казахстан на основании сведений, содержащихся 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информационных системах Комитета государственных доходов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и статистической отчетности, предоставляемой территориальными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органами государственных доходов.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Куда представляется форма: в структурное подразделение, осуществляющее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координацию деятельности Комитета государственных доходов Министерства финансов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в части свода данных специальной таможенной статистики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Республики Казахстан.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      Срок представления – ежемесячно к 10 числу месяца, следующего за отчетным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периодом. Ежегодная сводная статистическая информация - к 15 числу первого месяца,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следующего за отчетным годом.</w:t>
      </w:r>
    </w:p>
    <w:bookmarkEnd w:id="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557"/>
        <w:gridCol w:w="1153"/>
        <w:gridCol w:w="1795"/>
        <w:gridCol w:w="1795"/>
      </w:tblGrid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4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по Республике Казахстан</w:t>
            </w:r>
          </w:p>
          <w:bookmarkEnd w:id="4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_ года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период _ года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5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  <w:bookmarkEnd w:id="4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6" w:id="4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 информация </w:t>
            </w:r>
          </w:p>
          <w:bookmarkEnd w:id="46"/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7" w:id="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Департаментов государственных доходов</w:t>
            </w:r>
          </w:p>
          <w:bookmarkEnd w:id="4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8" w:id="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самостоятельных таможен</w:t>
            </w:r>
          </w:p>
          <w:bookmarkEnd w:id="4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59" w:id="4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подчиненных таможен</w:t>
            </w:r>
          </w:p>
          <w:bookmarkEnd w:id="4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0" w:id="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внутренних таможенных постов, в том числе: </w:t>
            </w:r>
          </w:p>
          <w:bookmarkEnd w:id="5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1" w:id="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Центров таможенного оформления</w:t>
            </w:r>
          </w:p>
          <w:bookmarkEnd w:id="5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2" w:id="5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Специальных экономических зон</w:t>
            </w:r>
          </w:p>
          <w:bookmarkEnd w:id="5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3" w:id="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приграничных таможенных постов, в том числе контрольно-пропускных пунктов:</w:t>
            </w:r>
          </w:p>
          <w:bookmarkEnd w:id="5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4" w:id="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Автомобильных </w:t>
            </w:r>
          </w:p>
          <w:bookmarkEnd w:id="5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5" w:id="5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Железнодорожных</w:t>
            </w:r>
          </w:p>
          <w:bookmarkEnd w:id="5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6" w:id="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Аэропортов</w:t>
            </w:r>
          </w:p>
          <w:bookmarkEnd w:id="5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7" w:id="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Морских</w:t>
            </w:r>
          </w:p>
          <w:bookmarkEnd w:id="5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8" w:id="5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Протяженность государственной границы Республики Казахстан</w:t>
            </w:r>
          </w:p>
          <w:bookmarkEnd w:id="58"/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69" w:id="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Общая, в том числе: </w:t>
            </w:r>
          </w:p>
          <w:bookmarkEnd w:id="5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0" w:id="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Российской Федерацией</w:t>
            </w:r>
          </w:p>
          <w:bookmarkEnd w:id="6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6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Кыргызской Республикой </w:t>
            </w:r>
          </w:p>
          <w:bookmarkEnd w:id="6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 Республикой Узбекистан</w:t>
            </w:r>
          </w:p>
          <w:bookmarkEnd w:id="6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3" w:id="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Туркменистаном </w:t>
            </w:r>
          </w:p>
          <w:bookmarkEnd w:id="6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4" w:id="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 Китайской Народной Республикой </w:t>
            </w:r>
          </w:p>
          <w:bookmarkEnd w:id="6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5" w:id="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Граница, проходящая вдоль береговой линии Каспийского моря (по побережью) </w:t>
            </w:r>
          </w:p>
          <w:bookmarkEnd w:id="6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километр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6" w:id="6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Объемы декларирования</w:t>
            </w:r>
          </w:p>
          <w:bookmarkEnd w:id="66"/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7" w:id="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физических лиц</w:t>
            </w:r>
          </w:p>
          <w:bookmarkEnd w:id="6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человек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железнодорожных средств</w:t>
            </w:r>
          </w:p>
          <w:bookmarkEnd w:id="6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вагонов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автотранспортных средств</w:t>
            </w:r>
          </w:p>
          <w:bookmarkEnd w:id="6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0" w:id="7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Книжки международных дорожных перевозок (МДП)</w:t>
            </w:r>
          </w:p>
          <w:bookmarkEnd w:id="7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книжек МДП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1" w:id="7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оформленных транзитных деклараций (ТД)</w:t>
            </w:r>
          </w:p>
          <w:bookmarkEnd w:id="7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ТД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2" w:id="7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оформленных деклараций на товары (ЭК-10) </w:t>
            </w:r>
          </w:p>
          <w:bookmarkEnd w:id="7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3" w:id="7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Количество оформленных деклараций на товары (Им-40) </w:t>
            </w:r>
          </w:p>
          <w:bookmarkEnd w:id="7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4" w:id="7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Среднее время таможенной очистки товаров, выпущенных по таможенной процедуре экспорта (ЭК-10) </w:t>
            </w:r>
          </w:p>
          <w:bookmarkEnd w:id="7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5" w:id="7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таможенной очистки товаров, выпущенных по таможенной процедуре выпуск для внутреннего потребления (Им-40)</w:t>
            </w:r>
          </w:p>
          <w:bookmarkEnd w:id="7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6" w:id="7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Результативность применения системы управления рисками* </w:t>
            </w:r>
          </w:p>
          <w:bookmarkEnd w:id="7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7" w:id="7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время таможенных операций в автомобильных пунктах пропуска (с круглосуточным режимом работы)</w:t>
            </w:r>
          </w:p>
          <w:bookmarkEnd w:id="7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минуты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8" w:id="7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деклараций, подаваемых в электронной форме**</w:t>
            </w:r>
          </w:p>
          <w:bookmarkEnd w:id="7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7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Информация о лицах, осуществляющих деятельность в сфере таможенного дела</w:t>
            </w:r>
          </w:p>
          <w:bookmarkEnd w:id="79"/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0" w:id="8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таможенных представителей согласно Реестру</w:t>
            </w:r>
          </w:p>
          <w:bookmarkEnd w:id="8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8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8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2" w:id="8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таможенных перевозчиков согласно Реестру</w:t>
            </w:r>
          </w:p>
          <w:bookmarkEnd w:id="8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3" w:id="8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8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4" w:id="8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Уполномоченных экономических операторов (УЭО) согласно Реестру</w:t>
            </w:r>
          </w:p>
          <w:bookmarkEnd w:id="8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5" w:id="8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8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6" w:id="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владельцев складов временного хранения (СВХ) согласно Реестру</w:t>
            </w:r>
          </w:p>
          <w:bookmarkEnd w:id="8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7" w:id="8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8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8" w:id="8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владельцев таможенных складов согласно Реестру</w:t>
            </w:r>
          </w:p>
          <w:bookmarkEnd w:id="8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9" w:id="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8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0" w:id="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владельцев магазинов беспошлинной торговли согласно Реестру</w:t>
            </w:r>
          </w:p>
          <w:bookmarkEnd w:id="9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1" w:id="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9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2" w:id="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владельцев свободных складов согласно Реестру</w:t>
            </w:r>
          </w:p>
          <w:bookmarkEnd w:id="9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3" w:id="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действующие</w:t>
            </w:r>
          </w:p>
          <w:bookmarkEnd w:id="9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4" w:id="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таможенных платежей и налогов в бюджет</w:t>
            </w:r>
          </w:p>
          <w:bookmarkEnd w:id="94"/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5" w:id="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  <w:bookmarkEnd w:id="9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6" w:id="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Таможенные сборы </w:t>
            </w:r>
          </w:p>
          <w:bookmarkEnd w:id="9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7" w:id="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Импортная таможенная пошлина</w:t>
            </w:r>
          </w:p>
          <w:bookmarkEnd w:id="9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8" w:id="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Экспортная таможенная пошлина</w:t>
            </w:r>
          </w:p>
          <w:bookmarkEnd w:id="9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9" w:id="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Защитная таможенная пошлина</w:t>
            </w:r>
          </w:p>
          <w:bookmarkEnd w:id="9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0" w:id="1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добавленную стоимость на импортируемые товары (общий)</w:t>
            </w:r>
          </w:p>
          <w:bookmarkEnd w:id="10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1" w:id="10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 на импорт</w:t>
            </w:r>
          </w:p>
          <w:bookmarkEnd w:id="10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2" w:id="10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Совокупный таможенный платеж</w:t>
            </w:r>
          </w:p>
          <w:bookmarkEnd w:id="102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3" w:id="10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Единая ставка таможенных пошлин, налогов</w:t>
            </w:r>
          </w:p>
          <w:bookmarkEnd w:id="10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4" w:id="10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Распределенные импортные пошлины Российской Федерации и Республики Беларусь и защитные пошлины</w:t>
            </w:r>
          </w:p>
          <w:bookmarkEnd w:id="10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миллион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5" w:id="10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 проведенных пост-таможенных проверках </w:t>
            </w:r>
          </w:p>
          <w:bookmarkEnd w:id="105"/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6" w:id="10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проведенных таможенных проверок</w:t>
            </w:r>
          </w:p>
          <w:bookmarkEnd w:id="106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7" w:id="10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них: выездных плановых проверок</w:t>
            </w:r>
          </w:p>
          <w:bookmarkEnd w:id="107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8" w:id="10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выездных внеплановых проверок</w:t>
            </w:r>
          </w:p>
          <w:bookmarkEnd w:id="108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9" w:id="10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камеральных таможенных проверок</w:t>
            </w:r>
          </w:p>
          <w:bookmarkEnd w:id="109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проверок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0" w:id="1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Доначислено таможенные платежи и налоги</w:t>
            </w:r>
          </w:p>
          <w:bookmarkEnd w:id="110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1" w:id="1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Взыскано таможенные платежи и налоги</w:t>
            </w:r>
          </w:p>
          <w:bookmarkEnd w:id="111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2" w:id="1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Кадровый состав территориальных органов государственных доходов</w:t>
            </w:r>
          </w:p>
          <w:bookmarkEnd w:id="112"/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3" w:id="1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Штатная численность таможенных постов территориальных органов государственных доходов </w:t>
            </w:r>
          </w:p>
          <w:bookmarkEnd w:id="113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4" w:id="1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 них, фактическая численность составляет:</w:t>
            </w:r>
          </w:p>
          <w:bookmarkEnd w:id="114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сотрудников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5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5" w:id="11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Уровень текучести персонала в таможенных постах за отчетный период </w:t>
            </w:r>
          </w:p>
          <w:bookmarkEnd w:id="115"/>
        </w:tc>
        <w:tc>
          <w:tcPr>
            <w:tcW w:w="11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проценты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bookmarkEnd w:id="116"/>
    <w:bookmarkStart w:name="z12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*отношение количества деклараций на товары, по которым в отчетном периоде выявлены нарушения в рамках системы управления рисками, к общему количеству деклараций на товары, с профилями риска и умноженное на 100</w:t>
      </w:r>
    </w:p>
    <w:bookmarkEnd w:id="117"/>
    <w:bookmarkStart w:name="z12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после запуска электронного декларирования</w:t>
      </w:r>
    </w:p>
    <w:bookmarkEnd w:id="118"/>
    <w:bookmarkStart w:name="z12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Первый руководитель (или лицо, уполномоченное на подписание отчета)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Ф.И.О.</w:t>
      </w: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</w:t>
      </w:r>
      <w:r>
        <w:rPr>
          <w:rFonts w:ascii="Times New Roman"/>
          <w:b w:val="false"/>
          <w:i w:val="false"/>
          <w:color w:val="000000"/>
          <w:sz w:val="28"/>
          <w:u w:val="single"/>
        </w:rPr>
        <w:t>(подпись)</w:t>
      </w:r>
    </w:p>
    <w:bookmarkEnd w:id="119"/>
    <w:bookmarkStart w:name="z13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      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       (число, месяц, год)</w:t>
      </w:r>
    </w:p>
    <w:bookmarkEnd w:id="120"/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Пояснение по заполнению формы "Основные показатели деятельности Комитета государственных доходов Министерства финансов Республики Казахстан" приведены в приложении к указанной форме.</w:t>
      </w:r>
    </w:p>
    <w:bookmarkEnd w:id="1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форме, предназначенной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сбора административных данных</w:t>
            </w:r>
          </w:p>
        </w:tc>
      </w:tr>
    </w:tbl>
    <w:bookmarkStart w:name="z133" w:id="1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Пояснение по заполнению формы, </w:t>
      </w:r>
      <w:r>
        <w:br/>
      </w:r>
      <w:r>
        <w:rPr>
          <w:rFonts w:ascii="Times New Roman"/>
          <w:b/>
          <w:i w:val="false"/>
          <w:color w:val="000000"/>
        </w:rPr>
        <w:t>предназначенной для сбора административных данных</w:t>
      </w:r>
    </w:p>
    <w:bookmarkEnd w:id="122"/>
    <w:bookmarkStart w:name="z134" w:id="1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 Общие положения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Настоящее пояснение (далее - Пояснение) определяет единые требования по заполнению формы, предназначенной для сбора административных данных (далее - Форма).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Форма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74 Кодекса Республики Казахстан от 30 июня 2010 года "О таможенном деле в Республике Казахстан" в целях систематизированного ведения специальной таможенной статистики.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Форма составляется структурными подразделениями Комитета государственных доходов Министерства финансов Республики Казахстан на основании сведений, содержащихся в информационных системах Комитета государственных доходов Министерства финансов Республики Казахстан и статистической отчетности, предоставляемой территориальными органами государственных доходов, ежемесячно/годовой.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Форму подписывает первый руководитель (или лицо, уполномоченное на подписание отчета), указывается месяц, день, год.</w:t>
      </w:r>
    </w:p>
    <w:bookmarkEnd w:id="127"/>
    <w:bookmarkStart w:name="z139" w:id="1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Пояснение по заполнению формы</w:t>
      </w:r>
    </w:p>
    <w:bookmarkEnd w:id="128"/>
    <w:bookmarkStart w:name="z140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графе 1 заполняется краткое описание показателей (информации).</w:t>
      </w:r>
    </w:p>
    <w:bookmarkEnd w:id="129"/>
    <w:bookmarkStart w:name="z141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графе 2 указывается единицы измерения.</w:t>
      </w:r>
    </w:p>
    <w:bookmarkEnd w:id="130"/>
    <w:bookmarkStart w:name="z142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графе 3 указывается период получения (сбора) данных (месяц/год) за предоставляемый год. Далее в соответствующих строках по установленным показателям, графа заполняется количественными сведениями в соответствии с установленной единицей измерения.</w:t>
      </w:r>
    </w:p>
    <w:bookmarkEnd w:id="131"/>
    <w:bookmarkStart w:name="z143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графе 4 указывается период получения (сбора) данных (месяц/год) за аналогичный период прошлого года. Далее в соответствующих строках по установленным показателям, графа заполняется количественными сведениями в соответствии с установленной единицей измерения.</w:t>
      </w:r>
    </w:p>
    <w:bookmarkEnd w:id="132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