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1bfe" w14:textId="e8c1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августа 2017 года № 567. Зарегистрирован в Министерстве юстиции Республики Казахстан 19 сентября 2017 года № 15702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и дополнения.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2017 года № 567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национальной экономики Республики Казахстан,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338 "Об утверждении Методики определения размера гарантийного взноса" (зарегистрированный в Реестре государственной регистрации нормативных правовых актов № 14190, опубликованный 8 сентября 2016 года в информационно-правовой системе "Әділет") следующее изменение: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гарантийного взноса,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347 "Об утверждении Методики расчета и формирования резерва на урегулирование гарантийных случаев" (зарегистрированный в Реестре государственной регистрации нормативных правовых актов № 14183, опубликованный 28 сентября 2016 года в информационно-правовой системе "Әділет") следующие изменение и дополнение: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формирования резерва на урегулирование гарантийных случаев, утвержденной указанным приказом: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определения вероятности дефолта застройщика используется присвоенный рейтинг застройщика. Определение рейтинга застройщика осуществляется согласно приложению к настоящей Методике, при этом определение уровня риска осуществляется в соответствии с Методикой определения размера гарантийного взноса,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338 (зарегистрированный в Реестре государственной регистрации нормативных правовых актов № 14190);";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жилого дома (жилого здания) для заключения договора о предоставлении гарантии" (зарегистрированный в Реестре государственной регистрации нормативных правовых актов № 14312, опубликованный 4 ноября 2016 года в информационно-правовой системе "Әділет") следующие изменения и дополнение: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жилого дома (жилого здания) для заключения договора о предоставлении гарантии, утвержденных указанным приказом: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 вносится изменение на казахском языке, текст на русском языке не меняется;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Прием заявок Фондом гарантирования осуществляется на постоянной основе, за исключением случая, когда достигается пороговое значение норматива достаточности капитала Фонда гарантирования, о чем указывается на интернет-ресурсе Фонда гарантирования.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Застройщик и уполномоченная компания прилагает к заявке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план финансирования проекта строительства составляется по форме, согласно приложению 3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застройщиком с новым проектом строительства в течение одного года, предоставление документов в Фонд гарантирования,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1, подпункте 1) пункта 2, подпунктах 3) и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Правилам, не требуется. Данное требование не распространяется на документы, в которые были внесены изменения и (или) дополнения до повторного обращения в Фонд гарантирования.";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наличия или отсутствия неисполненных судебных разбирательств имущественного характера в отношении застройщика и уполномоченной компании;";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несвоевременное заключение застройщиком и уполномоченной компанией договоров: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оказании инжиниринговых услуг в долевом жилищном строительстве между уполномоченной компанией, Фондом гарантирования и инжиниринговой компанией;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земельного участка вместе с объектом незавершенного строительства между уполномоченной компанией и Фондом гарантирования;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голосующих акций (долей участия в уставном капитале) уполномоченной компании между застройщиком и Фондом гарантирования;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доверительного управления голосующими акциями (долей участия в уставном капитале) уполномоченной компании между застройщиком и Фондом гарантирования;";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338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размера гарантийного взноса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определения размера гарантийного взноса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 строительстве" (далее – Закон).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используется Фондом гарантирования жилищного строительства в целях расчета размера гарантийного взноса посредством оценки показателей и факторов риска, согласно настоящей Методике.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гарантийного взноса определяется как произведение ставки гарантийного взноса на разницу между проектной стоимостью жилого дома (жилого здания) и стоимостью незавершенного строительства: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            Гв = СГв 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266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(ПС – НС)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 – размер гарантийного взноса;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СГв – ставка гарантийного взноса;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 – проектная стоимость жилого дома (жилого здания)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стоимость незавершенного строительства, подтвержденная отчетом независимой оценочной компании и актами выполненных работ.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размера гарантийного взноса используется многофакторная модель, основанная на оценке показателей и факторов риска, согласно приложению к настоящей Методике.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расчета показателей и факторов риска, установленных в приложении к настоящей Методике, проводится анализ финансовой отчетности (бухгалтерский баланс, отчет о прибылях и убытках, отчет о движении денежных средств, отчет об изменениях в собственном капитале) застройщика за последний финансовый год.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Ставка гарантийного взноса составляет 2% и является единой для всех застройщиков.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применения ставки гарантийного взноса застройщику необходимо набрать 60 и более баллов по фактору рисков, оцениваемых в соответствии с приложением к настоящей Методике.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гарантийного взноса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Многофакторная модель, основанная на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показателей и факторов риска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5227"/>
        <w:gridCol w:w="2194"/>
        <w:gridCol w:w="1893"/>
        <w:gridCol w:w="842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50"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риска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и балл</w:t>
            </w:r>
          </w:p>
        </w:tc>
      </w:tr>
      <w:tr>
        <w:trPr>
          <w:trHeight w:val="30" w:hRule="atLeast"/>
        </w:trPr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Показатели рентабельности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(от 0 до 30 баллов)</w:t>
            </w:r>
          </w:p>
          <w:bookmarkEnd w:id="51"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Коэффициент рентабельности деятельности (чистая прибыль / выручка)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отражает степень эффективности использования материальных, трудовых, денежных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баллов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0,02 – 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0,02 до 0,04 – 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0,04 до 0,06 – 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0,06 до 0,08 – 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0,08 до 0,10 – 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0,10 до 0,12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0,12 до 0,14 – 6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0,14 до 0,16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0,16 до 0,18 – 8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0,18 до 0,20 – 9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0,20 – 10 баллов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рентабельности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(чистая прибыль / активы)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показывает способность организации генерировать прибыль без учета структуры его капитала, качество управления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0,01 – 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0,01 до 0,02 – 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0,03 – 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0,03 до 0,04 – 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0,04 до 0,05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0,05 до 0,06 – 6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0,06 до 0,07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0,07 до 0,08 – 8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0,08 до 0,09 – 9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0,09 –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Коэффициент рентабельности собственного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(чистая прибыль / собственный капитал)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показывает, насколько эффективно использован вложенный собственный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0 – 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 до 0,02 – 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0,04 – 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0,04 до 0,06 – 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0,06 до 0,08 – 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0,08 до 0,10–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0,10 до 0,12 – 6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0,12 до 0,14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0,14 до 0,16 – 8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0,16 до 0,18 – 9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0,18 – 10 баллов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Показатели ликвидности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(от 0 до 10 баллов)</w:t>
            </w:r>
          </w:p>
          <w:bookmarkEnd w:id="54"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 (краткосрочные активы / краткосрочные обязательства)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показывает уровень покрытия краткосрочных обязательств оборотным капиталом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баллов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0,70 – 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0,70 до 0,75 – 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0,75 до 0,80 – 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0,80 до 0,85 – 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0,85 до 0,90 – 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0,90 до 0,95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0,95 до 1,00 – 6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1,00 до 1,05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1,05 до 1,10 – 8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1,10 до 1,20 – 9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1,20 – 10 баллов</w:t>
            </w:r>
          </w:p>
          <w:bookmarkEnd w:id="56"/>
        </w:tc>
      </w:tr>
      <w:tr>
        <w:trPr>
          <w:trHeight w:val="30" w:hRule="atLeast"/>
        </w:trPr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Показатели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(от 0 до 30 баллов)</w:t>
            </w:r>
          </w:p>
          <w:bookmarkEnd w:id="57"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Коэффициент автономии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((собственный капитал + резервы) / активы)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определяет независимость финансового состояния организации от заемных источников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баллов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0,10 – 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0,10 до 0,12 – 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0,12 до 0,14 – 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0,14 до 0,16 – 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0,16 до 0,18 – 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0,18 до 0,20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0,20 до 0,22 – 6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0,22 до 0,24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0,24 до 0,28 – 8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0,28 до 0,30 – 9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0,30 – 10 баллов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маневренности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(собственные оборотные средства / собственный капитал)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показывает способность организации поддерживать уровень собственного оборотного капитала и пополнять оборотные средства в случае необходимости за счет собственных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0,10 – 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0,10 до 0,12 – 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0,12 до 0,14 – 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0,14 до 0,16 – 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0,16 до 0,18 – 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0,18 до 0,20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0,20 до 0,22 – 6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0,22 до 0,24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0,24 до 0,28 – 8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0,28 до 0,30 – 9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0,30 –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Коэффициент финансового рычага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(краткосрочные и долгосрочные финансовые обязательства / собственный капитал)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показывает уровень формирования активов за счет собственного капитала и характеризует степень независимости застройщика от заемных 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 независимость предприятия от заемных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Рекомендуемое значение – не более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7,0 – 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6,0 до 7,0 – 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5,5 до 6,0 – 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5,0 до 5,5 – 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4,5 до 5,0 – 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4,0 до 4,5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3,5 до 4,0 – 6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3,0 до 3,5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до 3,0 – 8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2,0 до 2,5 – 9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2,0 – 10 баллов</w:t>
            </w:r>
          </w:p>
        </w:tc>
      </w:tr>
      <w:tr>
        <w:trPr>
          <w:trHeight w:val="30" w:hRule="atLeast"/>
        </w:trPr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Опыт работы компании-застройщика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(от 0 до 10 баллов)</w:t>
            </w:r>
          </w:p>
          <w:bookmarkEnd w:id="60"/>
        </w:tc>
        <w:tc>
          <w:tcPr>
            <w:tcW w:w="5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введенной в эксплуатацию площади жилья (квадратных метров) или объем введенного в эксплуатацию жилья (квадратных 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баллов</w:t>
            </w:r>
          </w:p>
          <w:bookmarkEnd w:id="6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городах республиканского значения, столице, тысяч квадратных метров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иных административно-территориальных единицах, тысяч квадратных метров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до 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 до 100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Юридические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(от 0 до 20 баллов)</w:t>
            </w:r>
          </w:p>
          <w:bookmarkEnd w:id="62"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вступивших в законную силу, но неисполненных решений суда имущественного характера в отношении застройщика по требованиям третьих лиц (общая сумма требований / собственный капитал)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и более – 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 до 5 % – 10 баллов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вступивших в законную силу, но неисполненных решений суда имущественного характера в отношении уполномоченной компании по требованиям третьих лиц (общая сумма требований / собственный капитал)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и более – 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 до 5 % – 10 баллов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случаев</w:t>
            </w:r>
          </w:p>
        </w:tc>
      </w:tr>
    </w:tbl>
    <w:bookmarkStart w:name="z12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рейтинга застройщика</w:t>
      </w:r>
    </w:p>
    <w:bookmarkEnd w:id="64"/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рейтинга застройщика расчитывается количество баллов согласно многофакторной модели, основанной на оценке показателей и факторов риска, и предусмотренной Методикой определения размера гарантийного взноса,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338 (зарегистрированный в Реестре государственной регистрации нормативных правовых актов № 14190).</w:t>
      </w:r>
    </w:p>
    <w:bookmarkEnd w:id="65"/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 баллов застройщику присваивается рейтинг и соответствующее значение PD.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4210"/>
        <w:gridCol w:w="5894"/>
      </w:tblGrid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рейтинга</w:t>
            </w:r>
          </w:p>
          <w:bookmarkEnd w:id="67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PD, %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8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баллов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  <w:bookmarkEnd w:id="69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баллов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bookmarkEnd w:id="70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баллов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  <w:bookmarkEnd w:id="7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баллов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bookmarkStart w:name="z13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застройщика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6"/>
        <w:gridCol w:w="2854"/>
      </w:tblGrid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  <w:bookmarkEnd w:id="73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Присваиваемый рейтинг заявителю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баллов и выше</w:t>
            </w:r>
          </w:p>
          <w:bookmarkEnd w:id="74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80 баллов &lt;90</w:t>
            </w:r>
          </w:p>
          <w:bookmarkEnd w:id="75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70 баллов &lt;80</w:t>
            </w:r>
          </w:p>
          <w:bookmarkEnd w:id="76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60 баллов &lt;70</w:t>
            </w:r>
          </w:p>
          <w:bookmarkEnd w:id="77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</w:tbl>
    <w:bookmarkStart w:name="z1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78"/>
    <w:bookmarkStart w:name="z1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"А" (исключительная кредитоспособность, отличное финансовое состояние) – застройщик обладает высокой возможностью выполнить проект в срок и высоким уровнем финансовой устойчивости;</w:t>
      </w:r>
    </w:p>
    <w:bookmarkEnd w:id="79"/>
    <w:bookmarkStart w:name="z1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"В" (хороший уровень кредитоспособности и финансовой устойчивости) – застройщик в целом финансово устойчив и обладает оптимальной возможностью выполнить проект в срок и хорошим уровнем финансовой устойчивости.</w:t>
      </w:r>
    </w:p>
    <w:bookmarkEnd w:id="80"/>
    <w:bookmarkStart w:name="z1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"С" (средний уровень кредитоспособности и финансовой устойчивости) – застройщик обладает удовлетворительной возможностью выполнить проект в срок. Отдельные финансовые показатели демонстрируют некоторое отклонение от среднеотраслевых значений, но в целом общее финансовое состояние и платежеспособность являются удовлетворительными.</w:t>
      </w:r>
    </w:p>
    <w:bookmarkEnd w:id="81"/>
    <w:bookmarkStart w:name="z1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"D" (уровень кредитоспособности и финансовой устойчивости ниже среднего) – возможность застройщика выполнить проект в срок оценивается как достаточная. Имеются признаки ухудшения финансового состояния (низкий уровень платежеспособности/ стабильное снижение рыночной доли) или имеются форс-мажорные обстоятельства, которые могут негативно повлиять на финансовое состояние. Не исключается вероятность того, что данная компания не достаточно устойчива к колебаниям рыночного спроса.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(жилого здания)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Исх. № _______________                               Председателю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"___" _________ 201_ года                         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"Фонд гарантирования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жилищного строительства" господину (-же)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_______________________</w:t>
      </w:r>
    </w:p>
    <w:bookmarkEnd w:id="83"/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Заявка</w:t>
      </w:r>
    </w:p>
    <w:bookmarkEnd w:id="84"/>
    <w:bookmarkStart w:name="z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(Наименование застройщика и уполномоченной компании)</w:t>
      </w:r>
    </w:p>
    <w:bookmarkEnd w:id="85"/>
    <w:bookmarkStart w:name="z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просит Вас принять к рассмотрению перечень документов по проекту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(указать наименование проекта, адрес местонахождения)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проведения анализа на предмет определения возможности предоставления гарантии АО "Фонд гарантирования жилищного строительства" (далее – Фонд гарантирования) для организации долевого участия в жилищном строительстве способом получения гарантии Фонда гарантирования.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Подтверждаем, что прилагаемая информация к настоящей заявке достоверна, полная, качественная и соответствует действительности.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Настоящим предоставляем согласие на сбор и обработку Фондом гарантирования данных, указанных в заявке, а также персональных данных первого руководителя и главного бухгалтера застройщика и уполномоченной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застройщика и уполномоченной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предупреждены об ответственности, предусмотренной законодательством Республики Казахстан за представление ложной, недостоверной, не качественной и неполной информации.</w:t>
      </w:r>
    </w:p>
    <w:bookmarkEnd w:id="86"/>
    <w:bookmarkStart w:name="z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Информация по проекту</w:t>
      </w:r>
    </w:p>
    <w:bookmarkEnd w:id="87"/>
    <w:bookmarkStart w:name="z1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Информация о застройщике: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3"/>
        <w:gridCol w:w="307"/>
      </w:tblGrid>
      <w:tr>
        <w:trPr>
          <w:trHeight w:val="30" w:hRule="atLeast"/>
        </w:trPr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  <w:bookmarkEnd w:id="89"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  <w:bookmarkEnd w:id="90"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акционеров/участников (наименование акционера/участника (компания, Ф.И.О (при наличии), БИН/ИИН), доля участия в уставном капитале)</w:t>
            </w:r>
          </w:p>
          <w:bookmarkEnd w:id="91"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</w:t>
            </w:r>
          </w:p>
          <w:bookmarkEnd w:id="92"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(регион, область, район, улица, дом, индекс, телефон, электронный адрес)</w:t>
            </w:r>
          </w:p>
          <w:bookmarkEnd w:id="93"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(регион, область, район, улица, дом, индекс, телефон, электронный адрес)</w:t>
            </w:r>
          </w:p>
          <w:bookmarkEnd w:id="94"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 органа организации (Ф.И.О. (при наличии), ИИН, должность, опыт работы)</w:t>
            </w:r>
          </w:p>
          <w:bookmarkEnd w:id="95"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разрешений, лицензий для реализации проекта (наименование, номер и дата выдачи документа, срок действия)</w:t>
            </w:r>
          </w:p>
          <w:bookmarkEnd w:id="96"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2. Информация об уполномоченной компании: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2"/>
        <w:gridCol w:w="298"/>
      </w:tblGrid>
      <w:tr>
        <w:trPr>
          <w:trHeight w:val="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  <w:bookmarkEnd w:id="98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  <w:bookmarkEnd w:id="99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акционеров/участников (наименование акционера/участника (компания, Ф.И.О. (при наличии), БИН/ИИН), доля участия в уставном капитале)</w:t>
            </w:r>
          </w:p>
          <w:bookmarkEnd w:id="100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</w:t>
            </w:r>
          </w:p>
          <w:bookmarkEnd w:id="101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(регион, область, район, улица, дом, индекс, телефон, email)</w:t>
            </w:r>
          </w:p>
          <w:bookmarkEnd w:id="102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(регион, область, район, улица, дом, индекс, телефон, email)</w:t>
            </w:r>
          </w:p>
          <w:bookmarkEnd w:id="103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 органа организации (Ф.И.О. (при наличии), ИИН, должность, опыт работы)</w:t>
            </w:r>
          </w:p>
          <w:bookmarkEnd w:id="104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3. Информация о проекте: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9"/>
        <w:gridCol w:w="511"/>
      </w:tblGrid>
      <w:tr>
        <w:trPr>
          <w:trHeight w:val="30" w:hRule="atLeast"/>
        </w:trPr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  <w:bookmarkEnd w:id="106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проекта, статус по земельному участку</w:t>
            </w:r>
          </w:p>
          <w:bookmarkEnd w:id="107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  <w:bookmarkEnd w:id="108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ПСД с положительным заключением комплексной вневедомственной экспертизы</w:t>
            </w:r>
          </w:p>
          <w:bookmarkEnd w:id="109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(тысяч тенге)</w:t>
            </w:r>
          </w:p>
          <w:bookmarkEnd w:id="110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строительства 1 квадратного метра жилья согласно ПСД</w:t>
            </w:r>
          </w:p>
          <w:bookmarkEnd w:id="111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структура финансирования проекта (механизм финансирования и его параметры, структура обеспечения и другие).</w:t>
            </w:r>
          </w:p>
          <w:bookmarkEnd w:id="112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Приложения к заявке (перечень с приложениями).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80"/>
        <w:gridCol w:w="5220"/>
      </w:tblGrid>
      <w:tr>
        <w:trPr>
          <w:trHeight w:val="30" w:hRule="atLeast"/>
        </w:trPr>
        <w:tc>
          <w:tcPr>
            <w:tcW w:w="7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(при наличии)</w:t>
            </w:r>
          </w:p>
          <w:bookmarkEnd w:id="114"/>
        </w:tc>
        <w:tc>
          <w:tcPr>
            <w:tcW w:w="5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(жилого здания)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</w:tr>
    </w:tbl>
    <w:bookmarkStart w:name="z18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</w:t>
      </w:r>
    </w:p>
    <w:bookmarkEnd w:id="115"/>
    <w:bookmarkStart w:name="z18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Учредительные документы застройщика и уполномоченной компании (нотариально удостоверенные копии устава и учредительного договора/решения единственного учредителя об учреждении общества).</w:t>
      </w:r>
    </w:p>
    <w:bookmarkEnd w:id="116"/>
    <w:bookmarkStart w:name="z1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подтверждающие соответствие застройщика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Закона:</w:t>
      </w:r>
    </w:p>
    <w:bookmarkEnd w:id="117"/>
    <w:bookmarkStart w:name="z1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актов ввода в эксплуатацию проекта строительства, с учетом сданных квадратных метров, подтверждающие опыт застройщика по возведению жилых домов (жилых зданий), в том числе по государственному заказу.</w:t>
      </w:r>
    </w:p>
    <w:bookmarkEnd w:id="118"/>
    <w:bookmarkStart w:name="z1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опыта по возведению жилых домов (жилых зданий) застройщика, не указанного в акте ввода в эксплуатацию проекта строительства в качестве заказчика/подрядчика (генерального подрядчика), предоставляются следующие копии документов по реализованному проекту строительства:</w:t>
      </w:r>
    </w:p>
    <w:bookmarkEnd w:id="119"/>
    <w:bookmarkStart w:name="z1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ввода в эксплуатацию проекта строительства;</w:t>
      </w:r>
    </w:p>
    <w:bookmarkEnd w:id="120"/>
    <w:bookmarkStart w:name="z1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подряда, предусматривающего выполнение земляных работ, возведение несущих и (или) ограждающих конструкций зданий, устройство инженерных сетей, а также работы по защите и отделке конструкций по проекту строительства;</w:t>
      </w:r>
    </w:p>
    <w:bookmarkEnd w:id="121"/>
    <w:bookmarkStart w:name="z18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выполненных работ по договору подряда;</w:t>
      </w:r>
    </w:p>
    <w:bookmarkEnd w:id="122"/>
    <w:bookmarkStart w:name="z18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по банковскому счету, подтверждающая оплату по договору подряда.</w:t>
      </w:r>
    </w:p>
    <w:bookmarkEnd w:id="123"/>
    <w:bookmarkStart w:name="z1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указанными документами застройщиком представляются их оригиналы. После сверки оригиналы документов возвращаются застройщику;</w:t>
      </w:r>
    </w:p>
    <w:bookmarkEnd w:id="124"/>
    <w:bookmarkStart w:name="z1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застройщика за последние два финансовых года, подтвержденная аудиторским заключением;</w:t>
      </w:r>
    </w:p>
    <w:bookmarkEnd w:id="125"/>
    <w:bookmarkStart w:name="z1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кредитный отчет, полученный от кредитного бюро, содержащий полную информацию о кредитной истории.</w:t>
      </w:r>
    </w:p>
    <w:bookmarkEnd w:id="126"/>
    <w:bookmarkStart w:name="z19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подтверждающие выполнение уполномоченной компанией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Закона:</w:t>
      </w:r>
    </w:p>
    <w:bookmarkEnd w:id="127"/>
    <w:bookmarkStart w:name="z19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купли-продажи (мены, дарения или иной сделки об отчуждении земельного участка), либо решение судебных органов о признании права частной собственности на земельный участок, права землепользования и иных вещных прав на землю (нотариально засвидетельствованная копия);</w:t>
      </w:r>
    </w:p>
    <w:bookmarkEnd w:id="128"/>
    <w:bookmarkStart w:name="z1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на право частной собственности на земельный участок либо акт на право временного (возмездного) землепользования (нотариально засвидетельствованная копия);</w:t>
      </w:r>
    </w:p>
    <w:bookmarkEnd w:id="129"/>
    <w:bookmarkStart w:name="z1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об остатке и движении денег по банковскому счету, подтверждающая наличие денег, планируемых для расходования на цели строительства в размере, определенном Законом либо отчет независимой оценочной компании об оценке земельного участка с незавершенным строительством (при начатом строительстве) и копии документов, подтверждающие начатое строительство (талон о приеме уведомления о начале строительно-монтажных работ, консервация объекта незавершҰнного строительства (при наличии), договоры авторского и технического надзора; оригинал отчета либо заключения инжиниринговой компании о техническом обследовании проекта на техническое состояние надежности конструкций и устойчивости зданий и инженерно-коммуникационных систем);</w:t>
      </w:r>
    </w:p>
    <w:bookmarkEnd w:id="130"/>
    <w:bookmarkStart w:name="z1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 (в электронном виде в формате PDF (Portable Document Format)) с положительным заключением комплексной вневедомственной экспертизы либо письма-разрешения от правообладателя и автора проекта на получение проектно-сметной документации по заявленному проекту от РГП "Госэкспертиза" (при прохождении проекта государственной комплексной вневедомственной экспертизы);</w:t>
      </w:r>
    </w:p>
    <w:bookmarkEnd w:id="131"/>
    <w:bookmarkStart w:name="z1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постановления на проектирование, эскизного проекта, архитектурно-планировочного задания, разбивочного плана, акта выбора земельного участка и технических условий;</w:t>
      </w:r>
    </w:p>
    <w:bookmarkEnd w:id="132"/>
    <w:bookmarkStart w:name="z19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договора банковского счета (заверенная печатью организации) и выписка об остатке и движении денег по банковскому счету подтверждающая наличие денег на оплату комиссии за рассмотрение документов, гарантийного взноса по договору о предоставлении гарантии;</w:t>
      </w:r>
    </w:p>
    <w:bookmarkEnd w:id="133"/>
    <w:bookmarkStart w:name="z2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договора, заключенного между уполномоченной компанией и подрядчиком (генеральным подрядчиком) с утвержденным планом производства строительно-монтажных работ, с приложением копии документов, подтверждающих полномочия лица по подписанию договора подряда (решение уполномоченного органа/приказ о назначении первого руководителя), а также копии документа, удостоверяющая его личность.</w:t>
      </w:r>
    </w:p>
    <w:bookmarkEnd w:id="134"/>
    <w:bookmarkStart w:name="z2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Квитанция об уплате комиссии за рассмотрение заявки.</w:t>
      </w:r>
    </w:p>
    <w:bookmarkEnd w:id="135"/>
    <w:bookmarkStart w:name="z2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финансирования проекта строительства, подписанный руководителями застройщика и уполномоченной компании, и заверенный их печатями (при наличии), а также в электронном виде в формате xls/xlsx/xlsm.</w:t>
      </w:r>
    </w:p>
    <w:bookmarkEnd w:id="136"/>
    <w:bookmarkStart w:name="z20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подтверждения выполнения уполномоченной компанией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предоставляется справка о зарегистрированных правах (обременениях) на недвижимое имущество и его технических характеристиках (с портала "электронное правительство").</w:t>
      </w:r>
    </w:p>
    <w:bookmarkEnd w:id="137"/>
    <w:bookmarkStart w:name="z20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Документы, предоставляемые застройщиком/уполномоченной компанией в Фонд гарантирования для проведения финансовой оценки, предусмотренной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Закона:</w:t>
      </w:r>
    </w:p>
    <w:bookmarkEnd w:id="138"/>
    <w:bookmarkStart w:name="z20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расшифровка статей финансовой отчетности застройщика, подтвержденной аудиторским заключением, подписанная руководителем/главным бухгалтером застройщика и заверенная его печатью (при наличии);</w:t>
      </w:r>
    </w:p>
    <w:bookmarkEnd w:id="139"/>
    <w:bookmarkStart w:name="z20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уполномоченной компании за последний финансовый период, расшифровка статей финансовой отчетности, подписанная руководителем/главным бухгалтером уполномоченной компании и заверенная ее печатью (при наличии).</w:t>
      </w:r>
    </w:p>
    <w:bookmarkEnd w:id="140"/>
    <w:bookmarkStart w:name="z20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Документы, предоставляемые застройщиком/уполномоченной компанией для проведения юридической оценки, предусмотренной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Закона:</w:t>
      </w:r>
    </w:p>
    <w:bookmarkEnd w:id="141"/>
    <w:bookmarkStart w:name="z2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 государственной регистрации/перерегистрации юридического лица (с портала "электронное правительство");</w:t>
      </w:r>
    </w:p>
    <w:bookmarkEnd w:id="142"/>
    <w:bookmarkStart w:name="z20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обо всех регистрационных действиях юридического лица (с портала "электронное правительство").</w:t>
      </w:r>
    </w:p>
    <w:bookmarkEnd w:id="143"/>
    <w:bookmarkStart w:name="z21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предоставляемые застройщиком/уполномоченной компанией для проведения юридической оценки, предусмотренной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Закона:</w:t>
      </w:r>
    </w:p>
    <w:bookmarkEnd w:id="144"/>
    <w:bookmarkStart w:name="z21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копии решений уполномоченного органа застройщика/уполномоченной компании об внесении изменений и/(или) дополнений в учредительные документы за последние два года (при наличии);</w:t>
      </w:r>
    </w:p>
    <w:bookmarkEnd w:id="145"/>
    <w:bookmarkStart w:name="z21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решений уполномоченного органа застройщика о передаче Фонду гарантирования в доверительное управление голосующих акций (долей участия в уставном капитале) уполномоченной компании, а также в залог 100% голосующих акций (долей участия в уставном капитале) уполномоченной компании (заверенные печатью застройщика (при наличии));</w:t>
      </w:r>
    </w:p>
    <w:bookmarkEnd w:id="146"/>
    <w:bookmarkStart w:name="z21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уполномоченного органа уполномоченной компании о передаче Фонду гарантирования в залог земельного участка и/или права землепользования с незавершенным строительством (при наличии) с его детальным описанием (заверенная печатью уполномоченной компании (при наличии));</w:t>
      </w:r>
    </w:p>
    <w:bookmarkEnd w:id="147"/>
    <w:bookmarkStart w:name="z21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полномочия лиц, уполномоченных правом первой и второй подписи от имени застройщика/уполномоченной компании, а также копии документов, удостоверяющие их личность (заверенные печатью (при наличии));</w:t>
      </w:r>
    </w:p>
    <w:bookmarkEnd w:id="148"/>
    <w:bookmarkStart w:name="z21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засвидетельствованный документ с образцами подписей уполномоченных лиц, имеющих право первой подписи, и оттиска печати организации (при наличии).</w:t>
      </w:r>
    </w:p>
    <w:bookmarkEnd w:id="149"/>
    <w:bookmarkStart w:name="z2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Документ, предоставляемый застройщиком/уполномоченной компанией для проведения юридической оценки, предусмотренной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Закона:</w:t>
      </w:r>
    </w:p>
    <w:bookmarkEnd w:id="150"/>
    <w:bookmarkStart w:name="z21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формирование уставного капитала (заверенные печатью (при наличии));</w:t>
      </w:r>
    </w:p>
    <w:bookmarkEnd w:id="151"/>
    <w:bookmarkStart w:name="z21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Документ, предоставляемый застройщиком/уполномоченной компанией для выполнения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Закона:</w:t>
      </w:r>
    </w:p>
    <w:bookmarkEnd w:id="152"/>
    <w:bookmarkStart w:name="z21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независимой оценочной компании об оценке недвижимого имущества, передаваемого Фонду гарантирования в залог.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(жилого здания)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План финансирования проекта строительства</w:t>
      </w:r>
    </w:p>
    <w:bookmarkEnd w:id="154"/>
    <w:bookmarkStart w:name="z22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План проектных затрат и график финансирования строительства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490"/>
        <w:gridCol w:w="2952"/>
        <w:gridCol w:w="2281"/>
        <w:gridCol w:w="1014"/>
        <w:gridCol w:w="548"/>
        <w:gridCol w:w="548"/>
        <w:gridCol w:w="1919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(согласно ПСД)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расчетной себестоимости, тыс.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денежных средств с указанием даты оценки выполненных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финансирования строительства, тыс. тенге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57"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2. План продаж и сдачи в аренду помещений в жилом доме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378"/>
        <w:gridCol w:w="778"/>
        <w:gridCol w:w="837"/>
        <w:gridCol w:w="841"/>
        <w:gridCol w:w="479"/>
        <w:gridCol w:w="779"/>
        <w:gridCol w:w="2355"/>
        <w:gridCol w:w="2359"/>
        <w:gridCol w:w="1008"/>
        <w:gridCol w:w="1008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9"/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помещения*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квадратный метр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дома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продажи / аренды за 1 квадратный метр,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дата продажи /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6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</w:t>
      </w:r>
      <w:r>
        <w:rPr>
          <w:rFonts w:ascii="Times New Roman"/>
          <w:b w:val="false"/>
          <w:i/>
          <w:color w:val="000000"/>
          <w:sz w:val="28"/>
        </w:rPr>
        <w:t>* квартира, машиноместо, нежилое помещение.</w:t>
      </w:r>
    </w:p>
    <w:bookmarkEnd w:id="161"/>
    <w:bookmarkStart w:name="z23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План продаж и сдачи в аренду помещений составляется на весь срок реализации проекта (с момента получения разрешения на привлечение денежных средств дольщиков до реализации всех видов помещений). В пункте 2 настоящей Формы указываются данные отдельно для каждой единицы вида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3. Прогнозные расчеты финансовых показателей проекта строительства (баланс, отчет о прибылях и убытках, отчет о движении денежных средств)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1) прогнозный баланс                                                 тыс. тенге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9"/>
        <w:gridCol w:w="1611"/>
      </w:tblGrid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bookmarkEnd w:id="16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  <w:bookmarkEnd w:id="16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  <w:bookmarkEnd w:id="16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  <w:bookmarkEnd w:id="16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  <w:bookmarkEnd w:id="16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  <w:bookmarkEnd w:id="16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  <w:bookmarkEnd w:id="16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  <w:bookmarkEnd w:id="17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  <w:bookmarkEnd w:id="17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  <w:bookmarkEnd w:id="17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  <w:bookmarkEnd w:id="17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  <w:bookmarkEnd w:id="17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  <w:bookmarkEnd w:id="17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  <w:bookmarkEnd w:id="17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  <w:bookmarkEnd w:id="17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чистые активы/капитал</w:t>
            </w:r>
          </w:p>
          <w:bookmarkEnd w:id="17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  <w:bookmarkEnd w:id="17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  <w:bookmarkEnd w:id="18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  <w:bookmarkEnd w:id="18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  <w:bookmarkEnd w:id="18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  <w:bookmarkEnd w:id="18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  <w:bookmarkEnd w:id="18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  <w:bookmarkEnd w:id="18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  <w:bookmarkEnd w:id="18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  <w:bookmarkEnd w:id="18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  <w:bookmarkEnd w:id="18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  <w:bookmarkEnd w:id="18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  <w:bookmarkEnd w:id="19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  <w:bookmarkEnd w:id="19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  <w:bookmarkEnd w:id="19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  <w:bookmarkEnd w:id="19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  <w:bookmarkEnd w:id="19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  <w:bookmarkEnd w:id="19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  <w:bookmarkEnd w:id="19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  <w:bookmarkEnd w:id="19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2) прогнозный отчет о прибылях и убытках                               тыс. тенге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0"/>
        <w:gridCol w:w="2220"/>
      </w:tblGrid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19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</w:t>
            </w:r>
          </w:p>
          <w:bookmarkEnd w:id="200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реализованных товаров и услуг</w:t>
            </w:r>
          </w:p>
          <w:bookmarkEnd w:id="201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</w:t>
            </w:r>
          </w:p>
          <w:bookmarkEnd w:id="202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  <w:bookmarkEnd w:id="20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  <w:bookmarkEnd w:id="20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  <w:bookmarkEnd w:id="20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  <w:bookmarkEnd w:id="20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операционная прибыль</w:t>
            </w:r>
          </w:p>
          <w:bookmarkEnd w:id="20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финансированию</w:t>
            </w:r>
          </w:p>
          <w:bookmarkEnd w:id="20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финансированию</w:t>
            </w:r>
          </w:p>
          <w:bookmarkEnd w:id="20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неоперационные доходы</w:t>
            </w:r>
          </w:p>
          <w:bookmarkEnd w:id="210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неоперационные расходы</w:t>
            </w:r>
          </w:p>
          <w:bookmarkEnd w:id="211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  <w:bookmarkEnd w:id="212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подоходному налогу</w:t>
            </w:r>
          </w:p>
          <w:bookmarkEnd w:id="21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после налогообложения</w:t>
            </w:r>
          </w:p>
          <w:bookmarkEnd w:id="21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3) прогнозный отчет о движении денежных средств (прямой метод) тыс. тенге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4"/>
        <w:gridCol w:w="1386"/>
      </w:tblGrid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21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  <w:bookmarkEnd w:id="21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денежных средств - всего </w:t>
            </w:r>
          </w:p>
          <w:bookmarkEnd w:id="21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1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и услуг</w:t>
            </w:r>
          </w:p>
          <w:bookmarkEnd w:id="22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от покупателей, заказчиков</w:t>
            </w:r>
          </w:p>
          <w:bookmarkEnd w:id="22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  <w:bookmarkEnd w:id="22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</w:t>
            </w:r>
          </w:p>
          <w:bookmarkEnd w:id="22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поставщикам за товары и услуги</w:t>
            </w:r>
          </w:p>
          <w:bookmarkEnd w:id="22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поставщикам товаров и услуг</w:t>
            </w:r>
          </w:p>
          <w:bookmarkEnd w:id="22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оплате труда</w:t>
            </w:r>
          </w:p>
          <w:bookmarkEnd w:id="22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вознаграждения</w:t>
            </w:r>
          </w:p>
          <w:bookmarkEnd w:id="22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и другие платежи в бюджет</w:t>
            </w:r>
          </w:p>
          <w:bookmarkEnd w:id="22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  <w:bookmarkEnd w:id="22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  <w:bookmarkEnd w:id="23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</w:t>
            </w:r>
          </w:p>
          <w:bookmarkEnd w:id="23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долгосрочных активов </w:t>
            </w:r>
          </w:p>
          <w:bookmarkEnd w:id="23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</w:t>
            </w:r>
          </w:p>
          <w:bookmarkEnd w:id="23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bookmarkEnd w:id="23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  <w:bookmarkEnd w:id="23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денежных средств – всего </w:t>
            </w:r>
          </w:p>
          <w:bookmarkEnd w:id="23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долгосрочных активов </w:t>
            </w:r>
          </w:p>
          <w:bookmarkEnd w:id="23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</w:t>
            </w:r>
          </w:p>
          <w:bookmarkEnd w:id="23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  <w:bookmarkEnd w:id="23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займы </w:t>
            </w:r>
          </w:p>
          <w:bookmarkEnd w:id="24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  <w:bookmarkEnd w:id="24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  <w:bookmarkEnd w:id="24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</w:t>
            </w:r>
          </w:p>
          <w:bookmarkEnd w:id="24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  <w:bookmarkEnd w:id="244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  <w:bookmarkEnd w:id="245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</w:t>
            </w:r>
          </w:p>
          <w:bookmarkEnd w:id="24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bookmarkEnd w:id="24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  <w:bookmarkEnd w:id="24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</w:t>
            </w:r>
          </w:p>
          <w:bookmarkEnd w:id="24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  <w:bookmarkEnd w:id="25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  <w:bookmarkEnd w:id="25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  <w:bookmarkEnd w:id="252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Прогнозные расчеты финансовых показателей составляются с разбивкой по кварталам на весь срок реализации проекта.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80"/>
        <w:gridCol w:w="5220"/>
      </w:tblGrid>
      <w:tr>
        <w:trPr>
          <w:trHeight w:val="30" w:hRule="atLeast"/>
        </w:trPr>
        <w:tc>
          <w:tcPr>
            <w:tcW w:w="7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(при наличии)</w:t>
            </w:r>
          </w:p>
          <w:bookmarkEnd w:id="254"/>
        </w:tc>
        <w:tc>
          <w:tcPr>
            <w:tcW w:w="5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