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e58e" w14:textId="335e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23 декабря 2014 года № 166 "Об утверждении Базового перечня показателей"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июня 2017 года № 260. Зарегистрирован в Министерстве юстиции Республики Казахстан 26 июля 2017 года № 15377. Утратил силу приказом Министра национальной экономики Республики Казахстан от 19 декабря 2018 года № 104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166 "Об утверждении Базового перечня показателей" (зарегистрирован в Реестре государственной регистрации нормативных правовых актов под № 10103, опубликован 30 января 2015 года в информационно-правовой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индикаторов (далее – Перечень),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445"/>
        <w:gridCol w:w="5458"/>
        <w:gridCol w:w="1709"/>
        <w:gridCol w:w="1446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  <w:bookmarkEnd w:id="5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материнской смертности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случаев на 100 тысяч родившихся живыми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(годовая)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ведомственная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отчетность МЗ РК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8211"/>
        <w:gridCol w:w="1200"/>
        <w:gridCol w:w="915"/>
        <w:gridCol w:w="774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  <w:bookmarkEnd w:id="9"/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Распространенность вируса иммунодефицита человека в возрастной группе 15-49 лет, в пределах 0,2-0,6%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(годовая)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ведомственная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отчетность МЗ РК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"Труд и социальная защита населения"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6757"/>
        <w:gridCol w:w="1221"/>
        <w:gridCol w:w="1302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  <w:bookmarkEnd w:id="13"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безработицы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5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из числа лиц, обратившихся по вопросам трудоустройства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трудоустроенных лиц на постоянную работу из числа обратившихся целевых групп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производственного травматизма (коэффициент частоты несчастных случаев на 1000 чел.)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квалифицированных специалистов в составе привлекаемой иностранной рабочей силы по разрешениям, выданным местными исполнительными органами (по квоте на привлечение иностранной рабочей силы)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9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трудоспособных из числа получателей адресной социальной помощи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МТСЗН РК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0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охваченных оказанием специальных социальных услуг (в общей численности лиц, нуждающихся в их получении)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МТСЗН РК по сведениям МИО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1"/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МТСЗН РК по сведениям МИО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56-1 с грифом "Для служебного пользования":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0"/>
        <w:gridCol w:w="5119"/>
        <w:gridCol w:w="503"/>
        <w:gridCol w:w="504"/>
        <w:gridCol w:w="504"/>
      </w:tblGrid>
      <w:tr>
        <w:trPr>
          <w:trHeight w:val="30" w:hRule="atLeast"/>
        </w:trPr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56-1</w:t>
            </w:r>
          </w:p>
          <w:bookmarkEnd w:id="25"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служебного пользования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 изложить в следующей редакции: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5774"/>
        <w:gridCol w:w="1733"/>
        <w:gridCol w:w="1321"/>
        <w:gridCol w:w="1739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  <w:bookmarkEnd w:id="29"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объектов социальной инфраструктуры, обеспеченных доступом для инвалидов от общего числа паспортизированных объектов социальной, транспортной инфраструктуры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(годовая)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МТСЗН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сведениям МИО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"Жилищно-коммунальное хозяйство" изложить в следующей редакции: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4332"/>
        <w:gridCol w:w="1680"/>
        <w:gridCol w:w="1792"/>
        <w:gridCol w:w="1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33"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4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объектов кондоминиума, требующих капитального ремонта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5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 городах к централизованному: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  <w:bookmarkEnd w:id="36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  <w:bookmarkEnd w:id="37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38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 сельских населенных пунктах к централизованному:**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  <w:bookmarkEnd w:id="39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  <w:bookmarkEnd w:id="40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41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модернизированных сетей от общей протяженности: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МИР РК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  <w:bookmarkEnd w:id="42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  <w:bookmarkEnd w:id="43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  <w:bookmarkEnd w:id="44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"Направление: Государственные услуги" исключить;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изложить в следующей редакции: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"МСХ РК – Министерство сельского хозяйства Республики Казахстан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РК – Комитет по правовой статистике и специальным учетам Генеральной прокуратуры Республики Казахстан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РК – Министерство образования и науки Республики Казахстан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РК – Министерство здравоохранения Республики Казахстан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МДРГО РК – Министерство по делам религий и гражданского общества Республики Казахстан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– Министерство труда и социальной защиты населения Республики Казахстан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РК – Министерство по инвестициям и развитию Республики Казахстан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РК – Министерство финансов Республики Казахстан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РК – Министерство культуры и спорта Республики Казахстан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ГПИИР – Государственная программа индустриально-инновационного развития Республики Казахстан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ПРТ – Программа развития территорий".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оценки регионов Министерства национальной экономики Республики Казахстан в установленном законодательством порядке обеспечить: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шестого пункта 1 Перечня, который вводится в действие со дня государственной регистрации.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