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2087" w14:textId="2f12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начала, продолжительности и каникулярных периодов 2017-2018 учебного года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июля 2017 года № 292. Зарегистрирован в Министерстве юстиции Республики Казахстан 20 июля 2017 года № 15356.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общеобязательного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среднего образования Республики Казахстан (начального, основного среднего, общего среднего образования), утвержденного постановлением Правительства Республики Казахстан от 23 августа 2012 года № 1080,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следующие сроки начала, продолжительности и каникулярных периодов 2017 - 2018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1 сентября 2017 года началом 2017 - 2018 учебного года;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продолжительность учебного года в предшкольных классах – 32 учебные недели, в 1 классах – 33 учебные недели, во 2-11 (12) классах - 34 учебные недели. Занятия, выпавшие на праздничные дни, переносятся на следующие дни с учетом интеграции содержания учебных программ за счет часов, отведенных на повторение;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учебного года каникулярные периоды: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1-11 (12) классах: осенние – 7 дней (с 30 октября по 5 ноября 2017 года включительно), зимние – 10 дней (с 29 декабря 2017 года по 7 января 2018 года включительно), весенние – 13 дней (с 21 марта по 2 апреля 2018 года включительно);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предшкольных классах: осенние – 7 дней (с 30 октября по 5 ноября 2017 года включительно), зимние – 14 дней (с 25 декабря 2017 года по 5 января 2018 года включительно), весенние – 15 дней (с 21 марта по 4 апреля 2018 года включительно);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предшкольных и 1 классах: дополнительные каникулы – 7 дней (с 5 по 11 февраля 2018 года включительно).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дошкольного и среднего образования Министерства образования и науки Республики Казахстан (Махсутова З.А.) в установленном законодательством порядке обеспечить: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вице-министра образования и науки Республики Казахстан Суханбердиеву Э.А.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