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459" w14:textId="994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июня 2017 года № 384. Зарегистрирован в Министерстве юстиции Республики Казахстан 17 июля 2017 года № 15340.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Республики Казахстан под № 12590, опубликован в информационно-правовой системе "Әділет" 31 декабря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Организатор не позднее пяти рабочих дней до окончания срока представления ценовых предложений, размещает на веб-портале на казахском и русском языках следующие сведения о проводимых государственных закупках способом запроса ценовых предложений: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товара, объемах выполняемых работ, оказываемых услуг, являющихся предметом проводимых государственных закупок, с указанием выделенных сумм;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краткое описание закупаемых товаров, работ, услуг.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поставки товара, выполнения работ, оказания услуг;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требуемые сроки поставки товара, выполнения работ, оказания услуг;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сроке начала и окончания представления потенциальными поставщиками ценовых предложений;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договора с указанием технической спецификации.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могут разработать техническую спецификацию с указанием национальных или неправительственных стандартов Республики Казахстан, при его наличии.";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должностное лицо не ниже заместителя первого руководителя заказчика.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материально-техническому обеспечению деятельности центральных исполнительных органов, председателем конкурсной комиссии определяется ответственный секретарь центрального исполнительного органа.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должностное лицо не ниже заместителя первого руководителя организатора.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должностное лицо не ниже заместителя первого руководителя заказчика.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председателем конкурсной комиссии определяется должностное лицо не ниже первого руководителя заказчика либо лица, исполняющего его обязанности, либо ответственный секретарь или иное осуществляющее полномочия ответственного секретаря должностное лицо.";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85-1 и 85-2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"85-1. Материальные и трудовые ресурсы, необходимые заказчику для исполнения обязательств по договору, указываются в технической спецификации, являющейся неотъемлемой частью конкурсной документации.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вместо технической спецификации конкурсная документация содержит утвержденную в установленном порядке проектно-сметную документацию, необходимые материальные и трудовые ресурсы указываются в соответствующем разделе проектно-сметной документации (проект организации строительства), содержащем потребность в основных видах строительных машин, механизмов, автотранспортных средств и трудовых ресурсах.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проектно-сметной документации соответствующего раздела (проект организации строительства), содержащего потребность в основных видах строительных машин, механизмов, автотранспортных средств и трудовых ресурсах на основании проектно-сметной документации разрабатывается и согласовывается с проектировщиком перечень основных видов строительных машин, механизмов, автотранспортных средств и трудовых ресурсов, отражающий такую потребность.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перечне основных видов строительных машин, механизмов, автотранспортных средств и трудовых ресурсов, указывается требование о наличии у потенциального поставщика аттестованных инженерно-технических работников, работающих у него на постоянной основе. Совмещение работы аттестованными инженерно-техническими работниками, участвующими в процессе проектирования и строительства в других организациях, осуществляющих указанные виды деятельности,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При осуществлении государственных закупок по оказанию инжиниринговых услуг по техническому надзору в технической спецификации, указывается требование о наличии у потенциального поставщика аттестованных инженерно-технических работников, оказывающих инжиниринговые услуги по техническому надзору, работающих у него на постоянной основе. Совмещение работы аттестованными инженерно-техническими работниками в других организациях, осуществляющих указанные виды деятельности, не допускается.";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вступления в силу договора и внесения победителем конкурса обеспечения исполнения договора и (или)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течение пяти рабочих дней со дня истечения срока повторного представления потенциальными поставщиками заявок на участие в конкурсе, приведенных в соответствие с квалификационными требованиями и требованиями конкурсной документации, оформляет протокол об итогах государственных закупок способом конкурса,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Потенциальный поставщик не допускается к участию в конкурсе (признан участником конкурса), если: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его субподрядчик либо соисполнитель определены не соответствующими квалификационным требованиям по следующим основаниям: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разрешений (уведомлений),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электронных копий либо в виде электронного документа патентов, свидетельств, сертификатов,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Казахстан), определяемые веб-порталом автоматически на основании сведений органов государственных доходов;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сведений о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потенциального поставщика квалификационным требованиям в части обладания опытом работы на рынке закупаемых товаров, работ, услуг, наличие которых установлено в конкурсной документации (аукционной документации);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потенциального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 факт представления недостоверной информации по квалификационным требованиям;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процедуре банкротства либо ликвидации;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технической спецификации, за исключением случая, когда конкурсная документация вместо технической спецификации содержит проектно-сметную документацию, прошедшую экспертизу в соответствии с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потенциальным поставщиком технической спецификации не соответствующей требованиям конкурсной документации;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сведений о субподрядчиках по выполнению работ (соисполнителях при оказании услуг), являющихся предметом закупок на конкурсе, а также виды работ и услуг, передаваемым потенциальным поставщиком субподрядчикам (соисполнителям),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(в случае привлечения потенциальным поставщиком субподрядчиков (соисполнителей);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потенциальным поставщиком субподрядчикам (соисполнителям) на субподряд (соисполнение) в совокупности более двух третей объема работ (стоимости строительства), услуг в случае представления сведений о субподрядчиках;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 факт представления недостоверных сведений по документам, представленным в конкурсной заявке;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имеет ограничения, связанные с участием в государственных закупках, предусмотренные в статье 6 Закона. По ограничениям, связанным с участием в государственных закупках, предусмотренных подпунктами 3), 4),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заявка на участие в конкурсе потенциального поставщика подлежит автоматическому отклонению веб-порталом. По ограничениям, связанным с участием в государственных закупках, предусмотренных подпунктами 7), 9), и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конкурсная комиссия рассматривает информацию на интернет-ресурсах соответствующих уполномоченных органов.";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В случае, если потенциальный поставщик имеет опыт работы в качестве генерального подрядчика конкурсная комиссия присваивает условную скидку в размере одного процента (1 %) за каждый год наличия у потенциального поставщика опыта работы на рынке закупаемых работ, в том числе по схожим (аналогичным) видам работ, являющихся предметом конкурса.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потенциальный поставщик имеет опыт работы в качестве субподрядчика конкурсная комиссия присваивает условную скидку в размере ноль целых пять десятых процента (0,5%) за каждый год наличия у него опыта работы на рынке закупаемых работ, в том числе по схожим (аналогичным) видам работ, являющихся предметом конкурса.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одного года потенциальным поставщиком выполнены работы, закупаемые на конкурсе, в том числе по схожим (аналогичным) видам работ, более чем на одном объекте строительства, конкурсная комиссия присваивает условную скидку в размере ноль целых два десятых процента (0,2 %) за каждый последующий объект строительства. Если данные работы выполнены потенциальным поставщиком в качестве субподрядчика, конкурсная комиссия присваивает условную скидку в размере ноль целых одна десятая процента (0,1 %) за каждый последующий объект строительства.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предметом конкурса являются работы, не связанные со строительством, конкурсная комиссия присваивает условную скидку в размере ноль целых два десятых процента (0,2 %) за каждую последующую выполненную работу, схожую (аналогичную) видам закупаемых работ.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процентное влияние на условную цену заявки на участие в конкурсе данного критерия не превышает десять процентов.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Процентное влияние на условную цену за наличие опыта работы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Цена заявки на участие в конкурсе потенциального поставщика на работы признается демпинговой в случае, если она ниже цены, указанной в технико-экономическом обосновании (для разработки проектно-сметной документации) и проектно-сметной документации, прошедшей экспертизу в соответствии с законодательством Республики Казахстан, (технической документации, предназначенной для среднего ремонта существующих автомобильных дорог общего пользования), более чем на пять процентов.";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"175. Цена заявки на участие в конкурсе потенциального поставщика на работы по разработке технико-экономического обоснования, проектно-сметной (типовой проектно-сметной) документации и градостроительных проектов признается демпинговой в случае, если она ниже цены,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232-нқ, зарегистрированным в Реестре государственной регистрации нормативных правовых актов под № 14642, в сфере архитектурной, градостроительной и строительной деятельности, более чем на десять процентов.";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"177. Цена заявки на участие в конкурсе потенциального поставщика на услуги, за исключением услуги,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признается демпинговой в случае, если она ниже цены, выделенной на конкурс более чем на пятьдесят процентов.";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"426. Исполнение договора о государственных закупках при поставке товаров осуществляется в следующей последовательности: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доставка товара в пункт назначения товара с предоставлением оригинала накладной;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товара;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приемка товара заказчиком.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электронной счет-фактуры, выписанной посредством информационной системы электронных счетов-фактур, в соответствии с Правилами документооборота счетов-фактур, выписываемых в электронной форме,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февраля 2015 года № 77, зарегистрированным в Реестре государственной регистрации нормативных правовых актов под № 10423 (далее – Правила документооборота счетов-фактур выписываемых в электронной форме);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заказчиком за поставленный товар.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настоящего пункта не распространяются на договора о государственных закупках, связанных с поставкой электрической и тепловой энергии.";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"426-1. Исполнение договора о государственных закупках при выполнении работ (оказании услуг) осуществляется в следующей последовательности: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акта выполненных работ (оказания услуг) посредством веб-портала;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сдача и приемка выполненных работ (оказанных услуг).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электронной счета-фактуры, выписанной посредством информационной системы электронных счетов-фактур, в соответствии с Правилами документооборота счетов-фактур выписываемых в электронной форме;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заказчиком за выполненные работы (оказанные услуги).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не распространяются на договора о государственных закупках, связанных с оказанием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настоящего пункта не распространяются на договора о государственных закупках, связанных с оказанием услуг, учет которых производится посредством сертифицированных систем (приборов) учета, в том числе коммунальных услуг (водоснабжение, канализация, газоснабжение) и услуг связи.";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описание и требуемые функциональные, технические, качественные и эксплуатационные характеристики закупаемых товаров, работ,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КД.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могут разработать техническую спецификацию с указанием национальных или неправительственных стандартов Республики Казахстан, при его наличии.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проектно-сметную документацию, вместо технической спецификации КД должна содержать утвержденную в установленном порядке проектно-сметную документацию;";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"71.Поставщик могут выбрать один из следующих видов обеспечения исполнения договора: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банковскую гарантию на бумажном носителе либо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возвращает внесенное обеспечение исполнения договора, 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 поставщику в сроки, указанные в договоре, или в течение пяти рабочих дней со дня полного и надлежащего исполнения поставщиком своих обязательств по договору.";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Соглашения об участии в конкурсе изложить в следующей редакции: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признания нашей заявки на участие в конкурсе выигравшей и заключения договора о государственных закупках, мы внесем обеспечение исполнения договора о государственных закупках, а также сумму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наличии), в размере, указанном в конкурсной документации, и выражаем согласие на раскрытие информации, связанной с исполнением договора о государственных закупках (накладная (акт) на поставку товара).";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конкурсной документации исключить;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описание и требуемые функциональные, технические, качественные и эксплуатационные характеристики закупаемых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АД.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могут разработать техническую спецификацию с указанием национальных или неправительственных стандартов Республики Казахстан, при его наличии;";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аукционной документации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аукционной документации исключить;</w:t>
      </w:r>
    </w:p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 </w:t>
      </w:r>
      <w:r>
        <w:rPr>
          <w:rFonts w:ascii="Times New Roman"/>
          <w:b w:val="false"/>
          <w:i w:val="false"/>
          <w:color w:val="000000"/>
          <w:sz w:val="28"/>
        </w:rPr>
        <w:t>к Правилам: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* данный текст отображается в случаях, указанных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360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378-4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изложить в следующей редакции: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данный текст отображается в случаях,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360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378-4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Информация по договору, изложить в следующей редакции: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заактированные суммы***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 (штраф, пеня) за просрочку сроков оказания услуг или ненадлежащего исполнения (частичного неисполнения) обязательств***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бюджетной классификации расходов: Программа/Подпрограмма/Специфика***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оказанные по данному акту услуги (наименование услуг в разрезе их подвидов в соответствии с технической спецификацией, заданием, графиком выполнения услуг при их наличии)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услуг*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отчете о научных исследованиях, маркетинговых, консультационных и прочих услугах (дата, номер, количество страниц) (при их наличии)****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требуемая к перечислению Поставщику***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закупках Министерства финансов Республики Казахстан (Ахметов С.М.) в установленном законодательством порядке обеспечить: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августа 2017 года и подлежит официальному опубликованию.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p>
      <w:pPr>
        <w:spacing w:after="0"/>
        <w:ind w:left="0"/>
        <w:jc w:val="both"/>
      </w:pPr>
      <w:bookmarkStart w:name="z133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Техническая спецификация закупаемых товаров, работ и услуг к конкур</w:t>
      </w:r>
      <w:r>
        <w:rPr>
          <w:rFonts w:ascii="Times New Roman"/>
          <w:b/>
          <w:i w:val="false"/>
          <w:color w:val="000000"/>
          <w:sz w:val="28"/>
        </w:rPr>
        <w:t>сной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(для заказчика)</w:t>
      </w:r>
    </w:p>
    <w:p>
      <w:pPr>
        <w:spacing w:after="0"/>
        <w:ind w:left="0"/>
        <w:jc w:val="both"/>
      </w:pPr>
      <w:bookmarkStart w:name="z134" w:id="103"/>
      <w:r>
        <w:rPr>
          <w:rFonts w:ascii="Times New Roman"/>
          <w:b w:val="false"/>
          <w:i w:val="false"/>
          <w:color w:val="000000"/>
          <w:sz w:val="28"/>
        </w:rPr>
        <w:t>
             № конкурса 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конкурса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лота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лота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технической спецификации даются полное описание и требуемые функциональные, технические, качественные и эксплуатационные характеристики закупаемых товаров (работ, услуг), включая необходимые спецификации, планы, чертежи, эскизы.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Заказчики могут разработать техническую спецификацию с указанием национальных или неправительственных стандартов Республики Казахстан, при его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осуществлении государственных закупок работ, требующих проектно-сметную документацию, вместо технической спецификации конкурсная документация должна содержать утвержденную в установленном порядке проектно-сметную документацию.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осуществлении государственных закупок работ по разработке технико-экономического обоснования и разработке проектно-сметной (типовой проектно-сметной) документации в техническом задании об их разработке может быть указано требование о применении при расчетах и проектировании материалов и оборудования, соответствующих действующим национальным и неправительственным стандартам Республики Казахстан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технической спецификации на товары, услуги описание функциональных, технических, качественных и эксплуатационных характеристик должно быть распределено на соответствующие разделы, содержащие пределы функциональности, параметры технических характеристик, назначение товара и эксплуатационные условия товара,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необходимости, в технической спецификации указываются сопутствующие услуги, необходимые при поставке товаров (монтаж, наладка, обучение, проверки и испытания товаров и т. д.) заказчику и где они должны проводиться, год выпуска товара, срок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приобретения работ и услуг, качество выполнения (оказания) которых зависит от квалификации работника, непосредственно выполняющего (оказывающего) такие работы (услуги), в технической спецификации дается описание требований, предъявляемых к работнику, определяющих его уровень и профиль профессиональной подготовки, стаж работы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стаж), необходимых для выполнения возложенных на него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осуществлении государственных закупок работ, требующих проектно-сметной документации, вместо технической спецификации конкурсная документация должна содержать утвержденную в установленном порядке проектно-сметную документацию.".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p>
      <w:pPr>
        <w:spacing w:after="0"/>
        <w:ind w:left="0"/>
        <w:jc w:val="both"/>
      </w:pPr>
      <w:bookmarkStart w:name="z137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о квалификации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(заполняется потенциальным поставщиком при закупках работ)</w:t>
      </w:r>
    </w:p>
    <w:p>
      <w:pPr>
        <w:spacing w:after="0"/>
        <w:ind w:left="0"/>
        <w:jc w:val="both"/>
      </w:pPr>
      <w:bookmarkStart w:name="z138" w:id="105"/>
      <w:r>
        <w:rPr>
          <w:rFonts w:ascii="Times New Roman"/>
          <w:b w:val="false"/>
          <w:i w:val="false"/>
          <w:color w:val="000000"/>
          <w:sz w:val="28"/>
        </w:rPr>
        <w:t>
             № конкурса 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конкурса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лота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лота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 о потенциальном поставщике: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БИН/ИИН/ИНН/УНП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Объем выполненных потенциальным поставщиком работ в течение последних десяти лет, аналогичных (схожих) закупаемым на конкурсе, с приложением электронных копий подтверждающих документов (заполняется в случае наличия).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 (местонахождение объекта)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завершения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Потенциальный поставщик указывает сведения о наличии строительных машин, механизмов и автотранспортных средств, предусмотренных конкурсной документацией, либо аналогичных строительных машин, механизмов и автотранспортных средств, необходимых для выполнения работ с приложением электронных копий подтверждающих документов.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машин, механизмов и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</w:tr>
    </w:tbl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Сведения о трудовых ресурсах, с приложением электронных копий подтверждающих документов.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работников (приложить электронную копию документа, удостоверяющего личность)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 и т.д., приложить их электронные копии)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p>
      <w:pPr>
        <w:spacing w:after="0"/>
        <w:ind w:left="0"/>
        <w:jc w:val="both"/>
      </w:pPr>
      <w:bookmarkStart w:name="z151" w:id="117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 случае, если наличие опыта работы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 случае, если предметом конкурса является строительство новых, а также расширение, техническое перевооружение, модернизация, реконструкция, реставрация и капитальный ремонт существующих объектов, документом, подтверждающим опыт работы, является электронные копии актов приемки выполненных работ и приемки объектов в эксплуатацию (в случае, если потенциальный поставщик имеет опыт работы в качестве субподрядчика представляется электронные копии актов приемки выполненных работ и приемки объекта в эксплуатацию, либо заключение о качестве строительно-монтажных работ, в котором указываются сведения об этом субподрядчике).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 случае, если предметом конкурса является разработка проектно-сметной документации, документом, подтверждающим опыт работы, является электронная копия положительного заключения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В случае, если предметом конкурса являются иные виды работ, не связанные со строительством, документами, подтверждающими опыт работы, являются электронные копии актов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 случае, если предметом конкурса является новое строительство, учитывается опыт работы только строительства новых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В случае, если предметом конкурса является расширение, модернизация, техническое перевооружение и реконструкция, то учитывается опыт работы строительства новых объектов, расширения, модернизации, технического перевооружения и реконструкции существующих объектов, за исключением капитального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В случае, если предметом конкурса является капитальный ремонт, то учитывается опыт работы строительства новых объектов, расширения, модернизации, технического перевооружения, реконструкции и капитального ремонта существующих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Опыт работы в сфере строительства рассчитывается исходя из функционального назначения и отраслевой принадлежности объектов строительства (аналогичность или схожесть ранее выполненных работ по видам строительства) и их технической сложности, определенной в соответствии с законодательством Республики Казахстан об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При расчете опыта работы по договорам, со сроком свыше одного года признается год завершения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Предоставление электронных копий подтверждающих документов обязательно только по тем сведениям, указание которых предусмотрено в конкурсной документации. В случае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Документом, подтверждающим право аренды строительных машин, механизмов и автотранспортных средств является электронная копия договора аренды либо электронная копия предварительного договора аренды. При этом, срок аренды по договорам не должен быть менее срока выполнения работ, установленного в конкурсной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Не допускается представление электронной копии договора субаренды строительных машин, механизмов и автотранспортных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Требование о предоставлении электронных копий документов, подтверждающих обладание материальными ресурсами, распространяется только на строительные машины, механизмы и автотранспортные средства, которые подлежат регистрации и учету в соответствии с законодательством Республики Казахстан. При этом, подтверждающими документами являются соответствующие документы о регистрации и постановке на 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Потенциальному поставщику может быть установлено требование о наличии собственных строительных машин, механизмов и автотранспортных средств, подлежащих регистрации и учету в соответствии с законодательством Республики Казахстан, указанных в соответствующем разделе проектно-сметной документации (проект организации строительства) либо в перечне трудовых ресурсов и основных видов строительных машин, механизмов и автотранспортных средств, но не более трех единиц. При этом указывается только требование к количеству собственных строительных машин, механизмов и автотранспортных средств, без привязки к конкретным видам.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Взаимозаменяемость строительных машин, механизмов и автотранспортных средств, предусмотренных конкурсной документацией, и строительных машин, механизмов и автотранспортных средств, представляемых в конкурсной заявке потенциального поставщика согласовывается с проектировщиком.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В случае отсутствия проектно-сметной документации взаимозаменяемость оборудования, строительных машин, механизмов и автотранспортных средств определяется экспертной комиссией либо экспертом.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Если предметом конкурса является строительство, расширение, техническое перевооружение, модернизация, реконструкция, реставрация и капитальный ремонт существующих объектов, а также проектирование требование о предоставлении электронных копий документов, подтверждающих обладание трудовыми ресурсами, распространяется только на аттестованных инженерно-технических работников, работающих у него на постоянной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этом, документом, подтверждающим наличие в штате потенциального поставщика аттестованного инженерно-технического работника, является электронная копия квалификационного аттестата, выданного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ИНН – 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УНП – учетный номер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– фамилия имя отчество.".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p>
      <w:pPr>
        <w:spacing w:after="0"/>
        <w:ind w:left="0"/>
        <w:jc w:val="both"/>
      </w:pPr>
      <w:bookmarkStart w:name="z154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 о квалификации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(заполняется потенциальным поставщиком при закупках услуг)</w:t>
      </w:r>
    </w:p>
    <w:p>
      <w:pPr>
        <w:spacing w:after="0"/>
        <w:ind w:left="0"/>
        <w:jc w:val="both"/>
      </w:pPr>
      <w:bookmarkStart w:name="z155" w:id="119"/>
      <w:r>
        <w:rPr>
          <w:rFonts w:ascii="Times New Roman"/>
          <w:b w:val="false"/>
          <w:i w:val="false"/>
          <w:color w:val="000000"/>
          <w:sz w:val="28"/>
        </w:rPr>
        <w:t>
             № конкурса________________________________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конкурса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лота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лота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 о потенциальном поставщике: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БИН/ИИН/ИНН/УНП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Объем оказанных потенциальным поставщиком услуг в течение последних десяти лет, аналогичных (схожих) закупаемым на конкурсе, с приложением электронных копий подтверждающих документов (заполняется в случае наличия).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оказания услуги (с __ по 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Потенциальный поставщик указывает сведения о наличии оборудования, машин, механизмов и автотранспортных средств, предусмотренных конкурсной документацией, либо аналогичного (схожего, дополнительного) оборудования (материалов), необходимого для оказания услуг с приложением электронных копий подтверждающих документов.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(машин, механизмов и автотранспортных средств)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имеющихся единиц (штук)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(новое, хорошее, плохое)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</w:tc>
      </w:tr>
    </w:tbl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Потенциальный поставщик указывает сведения о квалифицированных работниках для выполнения возложенных на них обязанностей, необходимых в целях оказания услуг по данному конкурсу (лоту) с приложением электронных копий подтверждающих документов.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 (приложить электронную копию документа, удостоверяющего личность)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 закупаемых на данном конкурсе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(приложить электронную копию трудовой книжки в случае наличия требования по стажу)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квалификации (указать номер и дату выдачи диплома об образовании, сертификата, аттестата и т.д., приложить их электронные копии)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разряд, класс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заполняется при условии, если требования к работникам и по наличию таких работников указаны в технической спецификации по данному конкурсу (лоту).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всех сведений о квалификации подтверждаю</w:t>
            </w:r>
          </w:p>
        </w:tc>
      </w:tr>
    </w:tbl>
    <w:p>
      <w:pPr>
        <w:spacing w:after="0"/>
        <w:ind w:left="0"/>
        <w:jc w:val="both"/>
      </w:pPr>
      <w:bookmarkStart w:name="z166" w:id="126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 случае если наличие опыта оказания услуг не является в данном конкурсе квалификационным требованием, отсутствие электронных копий подтверждающих документов влияет на соответствующую условную скидку. Документами, подтверждающими опыт работы на рынке закупаемых услуг, являются электронные копии актов оказанных услуг и счетов-фактур.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Предоставление электронных копий подтверждающих документов обязательно только по тем сведениям, указание которых предусмотрено в конкурсной документации. В случае если конкурсной документацией не предусмотрены требования в части обладания соответствующими материальными и трудовыми ресурсами, электронные копии подтверждающих документов могут не предоставляться.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Документом, подтверждающим право аренды оборудования, машин, механизмов и автотранспортных средств является электронная копия договора аренды либо электронная копия предварительного договора аренды. При этом, срок аренды по договорам не должен быть менее срока оказания услуг, установленного в конкурсной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Не допускается представление электронной копии договора субаренды оборудования, машин, механизмов и автотранспортных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 расчете опыта работы по договорам, со сроком свыше одного года признается год завершения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ИНН – 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УНП – учетный номер 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– фамилия имя отчество.";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Банковская гарантия</w:t>
      </w:r>
    </w:p>
    <w:bookmarkEnd w:id="127"/>
    <w:p>
      <w:pPr>
        <w:spacing w:after="0"/>
        <w:ind w:left="0"/>
        <w:jc w:val="both"/>
      </w:pPr>
      <w:bookmarkStart w:name="z170" w:id="128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банка 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Кому:_____________________________________________________________________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организатора государственных закупок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организатора государственных закупок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Гарантийное обязательство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г.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 были проинформированы, что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потенциального поставщика) в дальнейшем "Поставщик"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участие в конкурсе по закупке ____________________, организованном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организатора государственных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готов осуществить поставку (выполнить работу, оказать услугу)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__________________. (наименование товаров, работ, услуг по конкурсу (лоту/-ам))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Конкурсной документацией от "___" __________ ___ г.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вышеназванного конкурса предусмотрено внесение потенциальными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заявки на участие в конкурсе в виде банковской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этим мы ___________________________ настоящим берем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банка) на себя безотзывное обязательство выплатить Вам по Вашему требованию сумму,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равную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в цифрах и прописью) по получении Вашего письменного требования на оплату,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письменного подтверждения того, что Поставщик, определенный победителем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конкурса, либо занявший второе место: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уклонился от заключения договора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заключив договор о государственных закупках, не исполнил либо ненадлежащим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образом исполнил, в том числе несвоевременно исполнил требования,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документацией, о внесении и (или) сроках внесения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о государственных закупках, а также суммы в соответствии со статьей 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Данное гарантийное обязательство вступает в силу со дня вскрытия заявок на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конкурсе.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Данное гарантийное обязательство действует до окончательного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заявки на участие в конкурсе Поставщика и истекает полностью и автоматически,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того, будет ли нам возвращен этот документ или нет, если Ваше письменное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требование не будет получено нами к концу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срок действия заявки на участие в конкурсе продлен, то данное гарантийное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обязательство продлевается на такой же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права и обязанности, возникающие в связи с настоящим гарантийным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обязательством, регулируются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и печать гаранта Дата и адрес";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аукционной документации</w:t>
            </w:r>
          </w:p>
        </w:tc>
      </w:tr>
    </w:tbl>
    <w:bookmarkStart w:name="z1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Техническая спецификация закупаемых товаров к аукционной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документации</w:t>
      </w:r>
    </w:p>
    <w:bookmarkEnd w:id="129"/>
    <w:p>
      <w:pPr>
        <w:spacing w:after="0"/>
        <w:ind w:left="0"/>
        <w:jc w:val="both"/>
      </w:pPr>
      <w:bookmarkStart w:name="z174" w:id="130"/>
      <w:r>
        <w:rPr>
          <w:rFonts w:ascii="Times New Roman"/>
          <w:b w:val="false"/>
          <w:i w:val="false"/>
          <w:color w:val="000000"/>
          <w:sz w:val="28"/>
        </w:rPr>
        <w:t>
             № аукциона 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аукциона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технической спецификации даются полное описание и требуемые функциональные, технические, качественные и эксплуатационные характеристики закупаемых товаров, включая необходимые спецификации, планы, чертежи, эскизы.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Заказчики могут разработать техническую спецификацию с указанием национальных или неправительственных стандартов Республики Казахстан, при его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необходимости в технической спецификации указываются сопутствующие услуги, необходимые при поставке товаров (монтаж, наладка, обучение, проверки и испытания товаров и т. д.) заказчику, и где они должны проводиться, год выпуска товара, срок гарантии.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 о местном содержании в закупаемых Товарах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товаров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договора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МС согласно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 (Мi)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СТ-KZ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Расчет местного содержания (МСТ) в договоре на поставку товаров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методики расчета организациями местного содержания при закупке товаров, работ и услуг, утвержденной приказом Министра по инвестициям и развитию Республики Казахстан от 30 января 2015 года № 87, зарегистрированным в Реестре государственной регистрации нормативных правовых актов под № 10711 (далее - Единая методика расчета организациями местного содержания при закупке товаров, работ и услуг), по следующей формуле: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759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5" w:id="142"/>
      <w:r>
        <w:rPr>
          <w:rFonts w:ascii="Times New Roman"/>
          <w:b w:val="false"/>
          <w:i w:val="false"/>
          <w:color w:val="000000"/>
          <w:sz w:val="28"/>
        </w:rPr>
        <w:t>
             где: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n - общее количество наименований товаров, поставляемых поставщиком в целях исполнения договора на поставку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 - порядковый номер товара, поставляемого поставщиком в целях исполнения договора на поставку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СТi - стоимость i-ого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Мi - доля местного содержания в товаре, указанная в сертификате о происхождении товара формы "СТ-КZ",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9 января 2015 года № 6 (далее - Сертификат о происхождении товара формы "СТ-КZ");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Мi = 0, в случае отсутствия сертификата о происхождении товара формы "СТ-КZ", если иное не установлено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методики расчета организациями местного содержания при закупке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S - общая стоимость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Доля местного содержания (%):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*МСт =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указывается итоговая доля местного содержания в договоре в цифровом формате до сотой доли (0,00)</w:t>
      </w:r>
    </w:p>
    <w:p>
      <w:pPr>
        <w:spacing w:after="0"/>
        <w:ind w:left="0"/>
        <w:jc w:val="both"/>
      </w:pPr>
      <w:bookmarkStart w:name="z196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 М.П.                   ___________________________________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имя. отчество. руководителя, подпись       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исполнителя, контактный телефон"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22-5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 о местном содержании в работах и услугах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(СДj)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стоимость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(СТj)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Cуммарная стоимость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субподряда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(ССДj)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фонда оплаты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казахстанских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кадров, выполняющего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j-ый договор (Rj)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товаров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договора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МС согласно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 (Мi)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СТ-KZ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  <w:bookmarkEnd w:id="1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Расчет местного содержания в договоре на выполнение работы (оказание услуги) (далее - МСр/у), за исключением договора на выполнение работы (оказание услуги), приобретаемых в рамках контрактов на недропользование производится в соответствии с Единой методики расчета организациями местного содержания при закупке товаров, работ и услуг, по следующей формуле: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3533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4" w:id="161"/>
      <w:r>
        <w:rPr>
          <w:rFonts w:ascii="Times New Roman"/>
          <w:b w:val="false"/>
          <w:i w:val="false"/>
          <w:color w:val="000000"/>
          <w:sz w:val="28"/>
        </w:rPr>
        <w:t>
             где: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m - общее количество j-ых договоров, заключенных в целях выполнения работы (оказания услуги), включая договор между заказчиком и подрядчиком, договоры между подрядчиком и субподрядчиками и т.д.;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j - порядковый номер договора, заключенного в целях выполнения работы (оказания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СДj- стоимость j-ого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СТj - суммарная стоимость товаров, закупленных поставщиком или субподрядчиком в целях исполнения j-ого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ССДj - суммарная стоимость договоров субподряда, заключенных в целях исполнения j-ого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Rj - доля фонда оплаты труда казахстанских кадров в общем фонде оплаты труда работников поставщика или субподрядчика, выполняющего j-ый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- общее количество наименований товаров, закупленных поставщиком или субподрядчиком в целях исполнения j-ого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 - порядковый номер товара, закупленного поставщиком или субподрядчиком в целях исполнения j-ого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СТi - стоимость i-ого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Мi - доля местного содержания в товаре, указанная в сертификате о происхождении товара формы "СТ-КZ";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Мi = 0, в случае отсутствия сертификата о происхождении товара формы "СТ-КZ";" если иное не установлено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методики расчета организациями местного содержания при закупке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S - общая стоимость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Rj - доля фонда оплаты труда казахстанских кадров в общем фонде оплаты труда работников поставщика или субподрядчика, выполняющего j-ый договор,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Rj = ФОТРК/ФОТ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ФОТРК - фонд оплаты труда казахстанских кадров поставщика или субподрядчика, выполняющего j-ый договор, за период действия j-го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ФОТ - общий фонд оплаты труда работников поставщика или субподрядчика, выполняющего j-ый договор, за период действия j-го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Доля местного содержания в договоре (%):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М.П.</w:t>
      </w:r>
    </w:p>
    <w:p>
      <w:pPr>
        <w:spacing w:after="0"/>
        <w:ind w:left="0"/>
        <w:jc w:val="both"/>
      </w:pPr>
      <w:bookmarkStart w:name="z235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Фамилия, имя. отчество. руководителя, подпись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**МСр/у =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** указывается итоговая доля местного содержания в </w:t>
      </w:r>
      <w:r>
        <w:rPr>
          <w:rFonts w:ascii="Times New Roman"/>
          <w:b w:val="false"/>
          <w:i/>
          <w:color w:val="000000"/>
          <w:sz w:val="28"/>
        </w:rPr>
        <w:t>договоре в цифровом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формате до сотой доли (0,00)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отчество, исполнителя, контактный телефон"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