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7811" w14:textId="f177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штатов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p>
      <w:pPr>
        <w:spacing w:after="0"/>
        <w:ind w:left="0"/>
        <w:jc w:val="both"/>
      </w:pPr>
      <w:r>
        <w:rPr>
          <w:rFonts w:ascii="Times New Roman"/>
          <w:b w:val="false"/>
          <w:i w:val="false"/>
          <w:color w:val="000000"/>
          <w:sz w:val="28"/>
        </w:rPr>
        <w:t>Приказ Министра культуры и спорта Республики Казахстан от 30 мая 2017 года № 155. Зарегистрирован в Министерстве юстиции Республики Казахстан 4 июля 2017 года № 15301.</w:t>
      </w:r>
    </w:p>
    <w:p>
      <w:pPr>
        <w:spacing w:after="0"/>
        <w:ind w:left="0"/>
        <w:jc w:val="both"/>
      </w:pPr>
      <w:r>
        <w:rPr>
          <w:rFonts w:ascii="Times New Roman"/>
          <w:b w:val="false"/>
          <w:i w:val="false"/>
          <w:color w:val="ff0000"/>
          <w:sz w:val="28"/>
        </w:rPr>
        <w:t xml:space="preserve">
      Сноска. Заголовок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40)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28.04.2022 </w:t>
      </w:r>
      <w:r>
        <w:rPr>
          <w:rFonts w:ascii="Times New Roman"/>
          <w:b w:val="false"/>
          <w:i w:val="false"/>
          <w:color w:val="000000"/>
          <w:sz w:val="28"/>
        </w:rPr>
        <w:t>№ 111</w:t>
      </w:r>
      <w:r>
        <w:rPr>
          <w:rFonts w:ascii="Times New Roman"/>
          <w:b w:val="false"/>
          <w:i w:val="false"/>
          <w:color w:val="ff0000"/>
          <w:sz w:val="28"/>
        </w:rPr>
        <w:t xml:space="preserve"> (вводится в действие с 21.04.2022).</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1</w:t>
      </w:r>
      <w:r>
        <w:rPr>
          <w:rFonts w:ascii="Times New Roman"/>
          <w:b w:val="false"/>
          <w:i w:val="false"/>
          <w:color w:val="000000"/>
          <w:sz w:val="28"/>
        </w:rPr>
        <w:t>) типовые штаты</w:t>
      </w:r>
      <w:r>
        <w:rPr>
          <w:rFonts w:ascii="Times New Roman"/>
          <w:b w:val="false"/>
          <w:i w:val="false"/>
          <w:color w:val="000000"/>
          <w:sz w:val="28"/>
        </w:rPr>
        <w:t xml:space="preserve"> для организаций, в которых осуществляются учебно-тренировочный процесс, подготовка спортивного резерва и спортсменов высокого класса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культуры и спорта РК от 24.02.2020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туризма и спорта РК от 23.12.2025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в течение десяти календарных дней после его официального опубликования;</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 № 155</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9"/>
    <w:p>
      <w:pPr>
        <w:spacing w:after="0"/>
        <w:ind w:left="0"/>
        <w:jc w:val="left"/>
      </w:pPr>
      <w:r>
        <w:rPr>
          <w:rFonts w:ascii="Times New Roman"/>
          <w:b/>
          <w:i w:val="false"/>
          <w:color w:val="000000"/>
        </w:rPr>
        <w:t xml:space="preserve"> Типовые штаты для организаций, в которых осуществляются учебно-тренировочный процесс, подготовка спортивного резерва и спортсменов высокого класса</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туризма и спорта РК от 23.12.2025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Типовые штаты с изменениями, внесенными приказами Министра культуры и спорта РК от 25.09.2018 </w:t>
      </w:r>
      <w:r>
        <w:rPr>
          <w:rFonts w:ascii="Times New Roman"/>
          <w:b w:val="false"/>
          <w:i w:val="false"/>
          <w:color w:val="000000"/>
          <w:sz w:val="28"/>
        </w:rPr>
        <w:t>№ 271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24.02.2020 </w:t>
      </w:r>
      <w:r>
        <w:rPr>
          <w:rFonts w:ascii="Times New Roman"/>
          <w:b w:val="false"/>
          <w:i w:val="false"/>
          <w:color w:val="000000"/>
          <w:sz w:val="28"/>
        </w:rPr>
        <w:t>№ 48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и.о. Министра культуры и спорта РК от 28.04.2022 </w:t>
      </w:r>
      <w:r>
        <w:rPr>
          <w:rFonts w:ascii="Times New Roman"/>
          <w:b w:val="false"/>
          <w:i w:val="false"/>
          <w:color w:val="000000"/>
          <w:sz w:val="28"/>
        </w:rPr>
        <w:t>№ 111</w:t>
      </w:r>
      <w:r>
        <w:rPr>
          <w:rFonts w:ascii="Times New Roman"/>
          <w:b w:val="false"/>
          <w:i w:val="false"/>
          <w:color w:val="000000"/>
          <w:sz w:val="28"/>
        </w:rPr>
        <w:t xml:space="preserve"> (вводится в действие с 21.04.2022); от 20.09.2024 </w:t>
      </w:r>
      <w:r>
        <w:rPr>
          <w:rFonts w:ascii="Times New Roman"/>
          <w:b w:val="false"/>
          <w:i w:val="false"/>
          <w:color w:val="000000"/>
          <w:sz w:val="28"/>
        </w:rPr>
        <w:t>№ 161</w:t>
      </w:r>
      <w:r>
        <w:rPr>
          <w:rFonts w:ascii="Times New Roman"/>
          <w:b w:val="false"/>
          <w:i w:val="false"/>
          <w:color w:val="000000"/>
          <w:sz w:val="28"/>
        </w:rPr>
        <w:t xml:space="preserve"> (вводится в действие со дня его первого официального опубликования); от 12.06.2025 </w:t>
      </w:r>
      <w:r>
        <w:rPr>
          <w:rFonts w:ascii="Times New Roman"/>
          <w:b w:val="false"/>
          <w:i w:val="false"/>
          <w:color w:val="000000"/>
          <w:sz w:val="28"/>
        </w:rPr>
        <w:t>№ 88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23.12.2025 </w:t>
      </w:r>
      <w:r>
        <w:rPr>
          <w:rFonts w:ascii="Times New Roman"/>
          <w:b w:val="false"/>
          <w:i w:val="false"/>
          <w:color w:val="000000"/>
          <w:sz w:val="28"/>
        </w:rPr>
        <w:t>№ 251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тренер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тренер национальной команды Республики Казахстан по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национальной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(или старший тренер-преподаватель)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культивируемый вид спорта в организациях в которых осуществляются учебно-тренировочный процесс, подготовка спортивного резерва и спортсменов высокого класса (далее – организация), за исключением центров подготовки олимпийского резерва (далее – ЦПОР), центры олимпийской подготовки (далее – ЦОП), центра спортивной подготовки для лиц с ограниченными физическими возможностями (далее –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ЦПОР, ЦОП по каждой возрастной категории (юношеский, юниорский и молодежный возраст) культивируемого вида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ЦСП по каждой возрастной категории (юношеский, юниорский, молодежный и взрослый возраст) культивируемого вида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спортивного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детско-юношеских спортивных школ (далее - ДЮСШ), детско-юношеских клубов физической подготовки (далее – ДЮКФП)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единиц в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единиц (для всех организаций, за исключением ДЮСШ, ДЮКФП, ЦСП)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единицу врача 1 единица медицинской сестры (для всех организаций, за исключением ДЮСШ, ДЮКФП)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ЦСП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ЦСП и ЦПОР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ДЮСШ, ДЮКФП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(или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(или тренер-преподаватель)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тренерско-преподавательского состава устанавливается исходя из комплектования групп по видам спорта и тарификационно-квалификационной сетки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ЦСП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ЦСП и ЦПОР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единиц, кроме организаций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организациях с собственной спортивной базой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 ЦСП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 ЦСП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или оператор фото-, видеоаппаратуры, копировально-множительных машин, систем связи, компьютерной техники (программ) по обслуживанию компьютерных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для организаций с собственной спортивной базой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столовой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конным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(заведующий) библиотекой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спортивным сооружением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отдельно стоящее спортивное сооружение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(заведующий) прачечной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складом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хозяйственным обслуживанием (гостиница, фитнес-центр, ледовый каток, бюро, гараж, делопроизводство, камера хранения, канцелярия, котельная, склад,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медицинским комплексом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общежитие, гостиницу, столовую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единиц на каждые общежитие, гостиницу, столовую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(при оказании в организациях платных услуг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пятидневной рабочей неделе с дневным графиком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сменном графике работы, когда время работы одного кассира превышает нормы трудового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отдельное здание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 спортивное сооружение без трибун для зрителей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единиц на каждый вход/выход в спортивных сооружениях с трибунами для зрителей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обслуживанию оборудования звуковой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w:t>
            </w:r>
          </w:p>
          <w:p>
            <w:pPr>
              <w:spacing w:after="20"/>
              <w:ind w:left="20"/>
              <w:jc w:val="both"/>
            </w:pPr>
            <w:r>
              <w:rPr>
                <w:rFonts w:ascii="Times New Roman"/>
                <w:b w:val="false"/>
                <w:i w:val="false"/>
                <w:color w:val="000000"/>
                <w:sz w:val="20"/>
              </w:rPr>
              <w:t>
0,5 штатной единицы должности на каждые 250 квадратных метров убираемой площади, но не менее 1 штатной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должности дворника устанавливается в зависимости от площади убираемого участка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для организаций со спецификой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летной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парашютной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Тренер-смазчик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Тренер-сервисмен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Техник-судоводитель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Оружейный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стрельбы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должностей, соответствующие профилю подготовки спортсменов: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конные виды спорта, охота с ловчими птицами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парусный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имеющих на балансе бассейн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Оператор-хлоратор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плаванию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гребные виды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спортивному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авиационные виды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инженерно-авиационной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Инструктор-летчик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парашютно-десантной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парашютно-десантной подготовки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самолетам и двигателям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авиационному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радиоэлектронному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аэродрому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аэродрому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спорт среди лиц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единиц на каждый вид 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имеющих на балансе ледовый дворец спорта, дворец единоборств,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спорту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500 осветительных и электрических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Газоэлектросварщик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250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 единиц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w:t>
            </w:r>
            <w:r>
              <w:br/>
            </w:r>
            <w:r>
              <w:rPr>
                <w:rFonts w:ascii="Times New Roman"/>
                <w:b w:val="false"/>
                <w:i w:val="false"/>
                <w:color w:val="000000"/>
                <w:sz w:val="20"/>
              </w:rPr>
              <w:t>№ 155</w:t>
            </w:r>
          </w:p>
        </w:tc>
      </w:tr>
    </w:tbl>
    <w:bookmarkStart w:name="z135" w:id="10"/>
    <w:p>
      <w:pPr>
        <w:spacing w:after="0"/>
        <w:ind w:left="0"/>
        <w:jc w:val="left"/>
      </w:pPr>
      <w:r>
        <w:rPr>
          <w:rFonts w:ascii="Times New Roman"/>
          <w:b/>
          <w:i w:val="false"/>
          <w:color w:val="000000"/>
        </w:rPr>
        <w:t xml:space="preserve">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bookmarkEnd w:id="10"/>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туризма и спорта РК от 23.12.2025 </w:t>
      </w:r>
      <w:r>
        <w:rPr>
          <w:rFonts w:ascii="Times New Roman"/>
          <w:b w:val="false"/>
          <w:i w:val="false"/>
          <w:color w:val="ff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антидопинговая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допинг-контроля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допинг-контроля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из расчета 1 единица лаборанта на 10 единиц научных сотрудников, при этом минимальная численность данных штатных работников составляет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научно-методическая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отраслевой отдел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или инструктор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 единиц на каждый отраслевой отдел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единицы,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столовой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библиотекой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спортивным сооружением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прачечной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хозяйственным обслуживанием (котельная, склад)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единицы, при наличии собственного спортивного сооружения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медицинским комплексом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при наличии собственного спортивного сооружения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осуществляются медико-биологическое и фармакологическое обеспечение, и организации, обеспечивающие спортсменов медицинской помощью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 административно-хозяйственной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физической 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медицинскому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при наличии собственного здания в организациях,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 0,5 штатной единицы должности на каждые 250 квадратных метров убираемой площади, но не менее 1 штатной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 по обслуживанию дизельной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общежитие, столовую,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на каждое общежитие, столовую,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(при оказании в организациях платных услуг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1 единица, на каждую расположенную отдельно зону обслуживания населения</w:t>
            </w:r>
          </w:p>
          <w:bookmarkEnd w:id="11"/>
          <w:p>
            <w:pPr>
              <w:spacing w:after="20"/>
              <w:ind w:left="20"/>
              <w:jc w:val="both"/>
            </w:pPr>
            <w:r>
              <w:rPr>
                <w:rFonts w:ascii="Times New Roman"/>
                <w:b w:val="false"/>
                <w:i w:val="false"/>
                <w:color w:val="000000"/>
                <w:sz w:val="20"/>
              </w:rPr>
              <w:t>
 (спортивная арена, фитнес, тренажерный зал, бассейн, секции по видам спорта, гостиница, столовая) при наличии собственного спортивного сооружения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единицы на каждую расположенную отдельно зону обслуживания населения </w:t>
            </w:r>
          </w:p>
          <w:p>
            <w:pPr>
              <w:spacing w:after="20"/>
              <w:ind w:left="20"/>
              <w:jc w:val="both"/>
            </w:pPr>
            <w:r>
              <w:rPr>
                <w:rFonts w:ascii="Times New Roman"/>
                <w:b w:val="false"/>
                <w:i w:val="false"/>
                <w:color w:val="000000"/>
                <w:sz w:val="20"/>
              </w:rPr>
              <w:t>
 (спортивная арена, фитнес, тренажерный зал, бассейн, секции по видам спорта, гостиница, столовая)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обслуживанию оборудования звуковой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единиц, при наличии собственного спортивного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единиц, при наличии собственного спортивного сооружения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