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2e068" w14:textId="2c2e0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приказы Министерства сельского хозяйства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Республики Казахстан - Министра сельского хозяйства Республики Казахстан от 11 мая 2017 года № 197. Зарегистрирован в Министерстве юстиции Республики Казахстан 16 июня 2017 года № 15231.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приказы Министерства сельского хозяйства Республики Казахстан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1) Утратил силу приказом Заместителя Премьер-Министра РК - Министра сельского хозяйства РК от 21.08.2017 </w:t>
      </w:r>
      <w:r>
        <w:rPr>
          <w:rFonts w:ascii="Times New Roman"/>
          <w:b w:val="false"/>
          <w:i w:val="false"/>
          <w:color w:val="ff0000"/>
          <w:sz w:val="28"/>
        </w:rPr>
        <w:t>№ 341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сельского хозяйства Республики Казахстан от 27 февраля 2015 года № 18-03/158 "Об утверждении размеров возмещения вреда, причиненного нарушением законодательства Республики Казахстан в области охраны, воспроизводства и использования животного мира" (зарегистрированный в Реестре государственной регистрации нормативных правовых актов № 10929, опубликованный 13 мая 2015 года в информационно-правовой системе "Әділет"): </w:t>
      </w:r>
    </w:p>
    <w:bookmarkEnd w:id="2"/>
    <w:bookmarkStart w:name="z10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размерах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возмещения вреда, причиненного нарушением законодательства Республики Казахстан в области охраны, воспроизводства и использования животного мира, утвержденных указанным приказом: </w:t>
      </w:r>
    </w:p>
    <w:bookmarkEnd w:id="3"/>
    <w:bookmarkStart w:name="z10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"Наземные млекопитающие", строку, порядковый номер 14, изложить в следующей редакции:</w:t>
      </w:r>
    </w:p>
    <w:bookmarkEnd w:id="4"/>
    <w:bookmarkStart w:name="z10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30"/>
        <w:gridCol w:w="2712"/>
        <w:gridCol w:w="3758"/>
      </w:tblGrid>
      <w:tr>
        <w:trPr>
          <w:trHeight w:val="30" w:hRule="atLeast"/>
        </w:trPr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6"/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 длинноиглый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bookmarkStart w:name="z10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7"/>
    <w:bookmarkStart w:name="z10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16 и 17, изложить в следующей редакции:</w:t>
      </w:r>
    </w:p>
    <w:bookmarkEnd w:id="8"/>
    <w:bookmarkStart w:name="z10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51"/>
        <w:gridCol w:w="1330"/>
        <w:gridCol w:w="6319"/>
      </w:tblGrid>
      <w:tr>
        <w:trPr>
          <w:trHeight w:val="30" w:hRule="atLeast"/>
        </w:trPr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0"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Кабан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11"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Кабарга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</w:tbl>
    <w:bookmarkStart w:name="z10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2"/>
    <w:bookmarkStart w:name="z11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строки, </w:t>
      </w:r>
    </w:p>
    <w:bookmarkEnd w:id="13"/>
    <w:bookmarkStart w:name="z11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порядковые номера 19 и 20, изложить в следующей редакции:</w:t>
      </w:r>
    </w:p>
    <w:bookmarkEnd w:id="14"/>
    <w:bookmarkStart w:name="z11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96"/>
        <w:gridCol w:w="2639"/>
        <w:gridCol w:w="5565"/>
      </w:tblGrid>
      <w:tr>
        <w:trPr>
          <w:trHeight w:val="30" w:hRule="atLeast"/>
        </w:trPr>
        <w:tc>
          <w:tcPr>
            <w:tcW w:w="4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16"/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Кожанок Бобринского 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17"/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Сибирский горный козел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</w:tbl>
    <w:bookmarkStart w:name="z11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8"/>
    <w:bookmarkStart w:name="z11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23, изложить в следующей редакции:</w:t>
      </w:r>
    </w:p>
    <w:bookmarkEnd w:id="19"/>
    <w:bookmarkStart w:name="z11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51"/>
        <w:gridCol w:w="1330"/>
        <w:gridCol w:w="6319"/>
      </w:tblGrid>
      <w:tr>
        <w:trPr>
          <w:trHeight w:val="30" w:hRule="atLeast"/>
        </w:trPr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21"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Косуля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</w:tbl>
    <w:bookmarkStart w:name="z11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2"/>
    <w:bookmarkStart w:name="z12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30, изложить в следующей редакции:</w:t>
      </w:r>
    </w:p>
    <w:bookmarkEnd w:id="23"/>
    <w:bookmarkStart w:name="z12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51"/>
        <w:gridCol w:w="1330"/>
        <w:gridCol w:w="6319"/>
      </w:tblGrid>
      <w:tr>
        <w:trPr>
          <w:trHeight w:val="30" w:hRule="atLeast"/>
        </w:trPr>
        <w:tc>
          <w:tcPr>
            <w:tcW w:w="4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25"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Лось</w:t>
            </w:r>
          </w:p>
        </w:tc>
        <w:tc>
          <w:tcPr>
            <w:tcW w:w="6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</w:tbl>
    <w:bookmarkStart w:name="z12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6"/>
    <w:bookmarkStart w:name="z12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41, изложить в следующей редакции:</w:t>
      </w:r>
    </w:p>
    <w:bookmarkEnd w:id="27"/>
    <w:bookmarkStart w:name="z12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30"/>
        <w:gridCol w:w="2712"/>
        <w:gridCol w:w="3758"/>
      </w:tblGrid>
      <w:tr>
        <w:trPr>
          <w:trHeight w:val="30" w:hRule="atLeast"/>
        </w:trPr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  <w:bookmarkEnd w:id="29"/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Путорак пегий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bookmarkStart w:name="z12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30"/>
    <w:bookmarkStart w:name="z12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cтроки, порядковые номера 46 и 47, изложить в следующей редакции:</w:t>
      </w:r>
    </w:p>
    <w:bookmarkEnd w:id="31"/>
    <w:bookmarkStart w:name="z12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74"/>
        <w:gridCol w:w="4106"/>
        <w:gridCol w:w="4720"/>
      </w:tblGrid>
      <w:tr>
        <w:trPr>
          <w:trHeight w:val="30" w:hRule="atLeast"/>
        </w:trPr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  <w:bookmarkEnd w:id="33"/>
        </w:tc>
        <w:tc>
          <w:tcPr>
            <w:tcW w:w="4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Сайгак-рогач*</w:t>
            </w:r>
          </w:p>
        </w:tc>
        <w:tc>
          <w:tcPr>
            <w:tcW w:w="4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  <w:bookmarkEnd w:id="34"/>
        </w:tc>
        <w:tc>
          <w:tcPr>
            <w:tcW w:w="4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Самка сайгака, молодняк*</w:t>
            </w:r>
          </w:p>
        </w:tc>
        <w:tc>
          <w:tcPr>
            <w:tcW w:w="4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</w:tbl>
    <w:bookmarkStart w:name="z13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35"/>
    <w:bookmarkStart w:name="z13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"Птицы", строку, порядковый номер 94, изложить в следующей редакции:</w:t>
      </w:r>
    </w:p>
    <w:bookmarkEnd w:id="36"/>
    <w:bookmarkStart w:name="z13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71"/>
        <w:gridCol w:w="1822"/>
        <w:gridCol w:w="4107"/>
      </w:tblGrid>
      <w:tr>
        <w:trPr>
          <w:trHeight w:val="30" w:hRule="atLeast"/>
        </w:trPr>
        <w:tc>
          <w:tcPr>
            <w:tcW w:w="6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  <w:bookmarkEnd w:id="38"/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Лысуха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bookmarkStart w:name="z13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39"/>
    <w:bookmarkStart w:name="z13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101, изложить в следующей редакции:</w:t>
      </w:r>
    </w:p>
    <w:bookmarkEnd w:id="40"/>
    <w:bookmarkStart w:name="z13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99"/>
        <w:gridCol w:w="1537"/>
        <w:gridCol w:w="3464"/>
      </w:tblGrid>
      <w:tr>
        <w:trPr>
          <w:trHeight w:val="30" w:hRule="atLeast"/>
        </w:trPr>
        <w:tc>
          <w:tcPr>
            <w:tcW w:w="7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  <w:bookmarkEnd w:id="42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Перепел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bookmarkStart w:name="z14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43"/>
    <w:bookmarkStart w:name="z14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103, изложить в следующей редакции:</w:t>
      </w:r>
    </w:p>
    <w:bookmarkEnd w:id="44"/>
    <w:bookmarkStart w:name="z14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99"/>
        <w:gridCol w:w="1537"/>
        <w:gridCol w:w="3464"/>
      </w:tblGrid>
      <w:tr>
        <w:trPr>
          <w:trHeight w:val="30" w:hRule="atLeast"/>
        </w:trPr>
        <w:tc>
          <w:tcPr>
            <w:tcW w:w="7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  <w:bookmarkEnd w:id="46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Поганки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bookmarkStart w:name="z14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47"/>
    <w:bookmarkStart w:name="z14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107, изложить в следующей редакции:</w:t>
      </w:r>
    </w:p>
    <w:bookmarkEnd w:id="48"/>
    <w:bookmarkStart w:name="z14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99"/>
        <w:gridCol w:w="1537"/>
        <w:gridCol w:w="3464"/>
      </w:tblGrid>
      <w:tr>
        <w:trPr>
          <w:trHeight w:val="30" w:hRule="atLeast"/>
        </w:trPr>
        <w:tc>
          <w:tcPr>
            <w:tcW w:w="7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  <w:bookmarkEnd w:id="50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Рябчик</w:t>
            </w:r>
          </w:p>
        </w:tc>
        <w:tc>
          <w:tcPr>
            <w:tcW w:w="3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bookmarkStart w:name="z14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51"/>
    <w:bookmarkStart w:name="z14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111, изложить в следующей редакции:</w:t>
      </w:r>
    </w:p>
    <w:bookmarkEnd w:id="52"/>
    <w:bookmarkStart w:name="z15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99"/>
        <w:gridCol w:w="5224"/>
        <w:gridCol w:w="2277"/>
      </w:tblGrid>
      <w:tr>
        <w:trPr>
          <w:trHeight w:val="30" w:hRule="atLeast"/>
        </w:trPr>
        <w:tc>
          <w:tcPr>
            <w:tcW w:w="4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  <w:bookmarkEnd w:id="54"/>
        </w:tc>
        <w:tc>
          <w:tcPr>
            <w:tcW w:w="5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Совы, сычи (кроме филина)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bookmarkStart w:name="z15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55"/>
    <w:bookmarkStart w:name="z15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115 и 116, изложить в следующей редакции:</w:t>
      </w:r>
    </w:p>
    <w:bookmarkEnd w:id="56"/>
    <w:bookmarkStart w:name="z15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57"/>
        <w:gridCol w:w="6170"/>
        <w:gridCol w:w="1973"/>
      </w:tblGrid>
      <w:tr>
        <w:trPr>
          <w:trHeight w:val="30" w:hRule="atLeast"/>
        </w:trPr>
        <w:tc>
          <w:tcPr>
            <w:tcW w:w="4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  <w:bookmarkEnd w:id="58"/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Утки (кроме занесенных в Красную книгу Республики Казахстан)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  <w:bookmarkEnd w:id="59"/>
        </w:tc>
        <w:tc>
          <w:tcPr>
            <w:tcW w:w="6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Фазан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bookmarkStart w:name="z15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60"/>
    <w:bookmarkStart w:name="z15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"Рыбы, морские млекопитающие и водные беспозвоночные", строки, порядковые номера 141, 142, 143, 144, 145, 146, 147, 148, 149, 150, 151, 152, 153 и 154, изложить в следующей редакции:</w:t>
      </w:r>
    </w:p>
    <w:bookmarkEnd w:id="61"/>
    <w:bookmarkStart w:name="z15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8"/>
        <w:gridCol w:w="10743"/>
        <w:gridCol w:w="779"/>
      </w:tblGrid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  <w:bookmarkEnd w:id="63"/>
        </w:tc>
        <w:tc>
          <w:tcPr>
            <w:tcW w:w="10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Сырдарьинский лжелопатонос*, волжская многотычинковая сельдь*, щуковидный жерех*, каспийский и аральский лосось*, белорыбица*, нельма*, кутум*, аральский и туркестанский усач*, илийская маринка*, каспийская минога*, таймень*, балхашский окунь* - балхашская и илийская популяции, шип*- аральская и илийская популяции, сибирский осетр*, чаткальский подкаменщик*, длиннопалый рак* (туркестанский подвид) (за одну особь) *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  <w:bookmarkEnd w:id="64"/>
        </w:tc>
        <w:tc>
          <w:tcPr>
            <w:tcW w:w="10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Белуга, шип икряные (за один килограмм)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  <w:bookmarkEnd w:id="65"/>
        </w:tc>
        <w:tc>
          <w:tcPr>
            <w:tcW w:w="10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Белуга, шип яловые (за один килограмм)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  <w:bookmarkEnd w:id="66"/>
        </w:tc>
        <w:tc>
          <w:tcPr>
            <w:tcW w:w="10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Осетр (кроме сибирского), севрюга, гибриды осетровых икряные (за один килограмм)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  <w:bookmarkEnd w:id="67"/>
        </w:tc>
        <w:tc>
          <w:tcPr>
            <w:tcW w:w="10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Осетр, севрюга, гибриды осетровых яловые (за один килограмм)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  <w:bookmarkEnd w:id="68"/>
        </w:tc>
        <w:tc>
          <w:tcPr>
            <w:tcW w:w="10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Стерлядь (за один килограмм)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  <w:bookmarkEnd w:id="69"/>
        </w:tc>
        <w:tc>
          <w:tcPr>
            <w:tcW w:w="10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Сиг, рипус, ряпушка, пелядь, чир, муксун (за один килограмм)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  <w:bookmarkEnd w:id="70"/>
        </w:tc>
        <w:tc>
          <w:tcPr>
            <w:tcW w:w="10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Белый амур, судак, сазан, карп, жерех, берш, обыкновенный сом, налим, белый и пестрый толстолобик, щука, змееголов (за один килограмм)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  <w:bookmarkEnd w:id="71"/>
        </w:tc>
        <w:tc>
          <w:tcPr>
            <w:tcW w:w="10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Лещ, плотва, вобла, голавль, шемая, подуст, чешуйчатый и голый осман, язь, золотой и серебряный карась, окунь обыкновенный и балхашский (кроме балхаш-илийской популяции), линь, елец обыкновенный и таласский,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красноперка, густера, востобрюшка, белоглазка, синец, чехонь, буффало, обыкновенная маринка (за один килограмм)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  <w:bookmarkEnd w:id="72"/>
        </w:tc>
        <w:tc>
          <w:tcPr>
            <w:tcW w:w="10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Сельди (пузанок (включая большеглазый и круглоголовый), бражниковская, долгинская, черноспинка, кефаль, камбала-глосса, килька (за один килограмм)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  <w:bookmarkEnd w:id="73"/>
        </w:tc>
        <w:tc>
          <w:tcPr>
            <w:tcW w:w="10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Лососевые (радужная форель, ленок (ускуч), сибирский хариус) (за один килограмм)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  <w:bookmarkEnd w:id="74"/>
        </w:tc>
        <w:tc>
          <w:tcPr>
            <w:tcW w:w="10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Каспийский тюлень (за каждую особь)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  <w:bookmarkEnd w:id="75"/>
        </w:tc>
        <w:tc>
          <w:tcPr>
            <w:tcW w:w="10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Длиннопалый рак (кроме туркестанского подвида) (за один килограмм)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  <w:bookmarkEnd w:id="76"/>
        </w:tc>
        <w:tc>
          <w:tcPr>
            <w:tcW w:w="10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Цисты артемия салина и прочие водные беспозвоночные - гаммарус, мотыль, дафнии (за каждый килограмм сырого продукта)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bookmarkStart w:name="z17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7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Примечания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размерам изложить в следующей редакции:</w:t>
      </w:r>
    </w:p>
    <w:bookmarkStart w:name="z17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"Примечания:</w:t>
      </w:r>
    </w:p>
    <w:bookmarkEnd w:id="78"/>
    <w:bookmarkStart w:name="z17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Животные, относящиеся к видам, занесенным в Красную книгу Республики Казахстан, а также виды на пользование которых введен запрет, кроме использования в научных целях:</w:t>
      </w:r>
    </w:p>
    <w:bookmarkEnd w:id="79"/>
    <w:bookmarkStart w:name="z17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каждое незаконно уничтоженное (разоренное) обитаемое гнездо, нору, логово и другие жилища животных ущерб взыскивается в размере десяти месячных расчетных показателей;</w:t>
      </w:r>
    </w:p>
    <w:bookmarkEnd w:id="80"/>
    <w:bookmarkStart w:name="z17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каждое незаконно добытое (уничтоженное) яйцо, а также за каждый эмбрион из незаконно добытой или уничтоженной самки млекопитающих взыскивается 50 процентов от размера возмещения вреда за взрослую особь (самки) данного вида животных (в месячных расчетных показателях);</w:t>
      </w:r>
    </w:p>
    <w:bookmarkEnd w:id="81"/>
    <w:bookmarkStart w:name="z18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 каждый незаконно добытый или приобретенный дериват, в том числе за каждые 100 грамм икры согласно </w:t>
      </w:r>
      <w:r>
        <w:rPr>
          <w:rFonts w:ascii="Times New Roman"/>
          <w:b w:val="false"/>
          <w:i w:val="false"/>
          <w:color w:val="000000"/>
          <w:sz w:val="28"/>
        </w:rPr>
        <w:t>Перечню</w:t>
      </w:r>
      <w:r>
        <w:rPr>
          <w:rFonts w:ascii="Times New Roman"/>
          <w:b w:val="false"/>
          <w:i w:val="false"/>
          <w:color w:val="000000"/>
          <w:sz w:val="28"/>
        </w:rPr>
        <w:t xml:space="preserve"> дериватов, утвержденному приказом Министра сельского хозяйства Республики Казахстан от 16 февраля 2015 года № 18-03/105 (зарегистрированный в Реестре государственной регистрации нормативных правовых актов № 10482), взыскивается 100 процентов от размера возмещения вреда за взрослую особь (самца или самки) данного вида животных (в месячных расчетных показателях).".</w:t>
      </w:r>
    </w:p>
    <w:bookmarkEnd w:id="82"/>
    <w:bookmarkStart w:name="z18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лесного хозяйства и животного мира Министерства сельского хозяйства Республики Казахстан в установленном законодательством порядке обеспечить:</w:t>
      </w:r>
    </w:p>
    <w:bookmarkEnd w:id="83"/>
    <w:bookmarkStart w:name="z18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84"/>
    <w:bookmarkStart w:name="z18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85"/>
    <w:bookmarkStart w:name="z18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 </w:t>
      </w:r>
    </w:p>
    <w:bookmarkEnd w:id="86"/>
    <w:bookmarkStart w:name="z18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сельского хозяйства Республики Казахстан.</w:t>
      </w:r>
    </w:p>
    <w:bookmarkEnd w:id="87"/>
    <w:bookmarkStart w:name="z18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Премьер-Министра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–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Мырзахметов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8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9"/>
    <w:bookmarkStart w:name="z18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финансов</w:t>
      </w:r>
    </w:p>
    <w:bookmarkEnd w:id="90"/>
    <w:bookmarkStart w:name="z19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bookmarkEnd w:id="91"/>
    <w:bookmarkStart w:name="z19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 Б. Султанов</w:t>
      </w:r>
    </w:p>
    <w:bookmarkEnd w:id="92"/>
    <w:bookmarkStart w:name="z19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 мая 2017 года</w:t>
      </w:r>
    </w:p>
    <w:bookmarkEnd w:id="9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Заместителя Премьера-Министра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–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мая 2017 года № 197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возмещения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компенсации вреда, наносимого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нанесенного рыбным ресурсам,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и неизбежного</w:t>
            </w:r>
          </w:p>
        </w:tc>
      </w:tr>
    </w:tbl>
    <w:bookmarkStart w:name="z195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7 - Биологические показатели ихтиофауны </w:t>
      </w:r>
    </w:p>
    <w:bookmarkEnd w:id="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6"/>
        <w:gridCol w:w="1360"/>
        <w:gridCol w:w="1361"/>
        <w:gridCol w:w="1876"/>
        <w:gridCol w:w="1534"/>
        <w:gridCol w:w="1534"/>
        <w:gridCol w:w="849"/>
        <w:gridCol w:w="1619"/>
        <w:gridCol w:w="1491"/>
      </w:tblGrid>
      <w:tr>
        <w:trPr>
          <w:trHeight w:val="30" w:hRule="atLeast"/>
        </w:trPr>
        <w:tc>
          <w:tcPr>
            <w:tcW w:w="6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рыб</w:t>
            </w:r>
          </w:p>
          <w:bookmarkEnd w:id="95"/>
        </w:tc>
        <w:tc>
          <w:tcPr>
            <w:tcW w:w="1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Встречаемость рыб, %</w:t>
            </w:r>
          </w:p>
        </w:tc>
        <w:tc>
          <w:tcPr>
            <w:tcW w:w="13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навеска, кг</w:t>
            </w:r>
          </w:p>
        </w:tc>
        <w:tc>
          <w:tcPr>
            <w:tcW w:w="18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плодовитость, шт. икринок*</w:t>
            </w:r>
          </w:p>
        </w:tc>
        <w:tc>
          <w:tcPr>
            <w:tcW w:w="1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самок в стаде, %*</w:t>
            </w:r>
          </w:p>
        </w:tc>
        <w:tc>
          <w:tcPr>
            <w:tcW w:w="1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Промышленный возврат от икры, %*</w:t>
            </w:r>
          </w:p>
        </w:tc>
        <w:tc>
          <w:tcPr>
            <w:tcW w:w="8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Кратность нереста, раз*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возмещения за 1 кг рыбной продукции при нарушении законодательства***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МРП 1618 тенге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Осетровые</w:t>
            </w:r>
          </w:p>
          <w:bookmarkEnd w:id="96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14,22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3,132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245 500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16180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Сельдевые</w:t>
            </w:r>
          </w:p>
          <w:bookmarkEnd w:id="97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11,63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0,132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160 000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Жерех</w:t>
            </w:r>
          </w:p>
          <w:bookmarkEnd w:id="98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1,08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0,611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0,013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Карп-сазан</w:t>
            </w:r>
          </w:p>
          <w:bookmarkEnd w:id="99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9,055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530 000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485,4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Лещ</w:t>
            </w:r>
          </w:p>
          <w:bookmarkEnd w:id="100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3,10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0,249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150 000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161,8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Плотва (вобла)</w:t>
            </w:r>
          </w:p>
          <w:bookmarkEnd w:id="101"/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69,88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0,067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0,006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плодовитость, доля самок в стаде, промышленный возврат от икры, кратность нереста использовались по данным приложения 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возмещения за 1 кг рыбной продукции при нарушении законодательства в соответствии с Приказом.</w:t>
            </w:r>
          </w:p>
          <w:bookmarkEnd w:id="102"/>
        </w:tc>
      </w:tr>
    </w:tbl>
    <w:bookmarkStart w:name="z206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методике растворенная в воде нефть оказывает продолжительное воздействие на планктон в течение 1 года, на бентос до 3 лет. </w:t>
      </w:r>
    </w:p>
    <w:bookmarkEnd w:id="103"/>
    <w:bookmarkStart w:name="z207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Пропитанные нефтью донные отложения не воздействуют на планктон при условии изъятия грунта (рекультивация), если работы не проводятся то воздействие на планктон ожидается в течении 5 лет. Восстановление бентоса после рекультивации грунтов ожидается в течении 2 лет, без проведения рекультивации грунтов на полное восстановления бентоса потребуется до 7 лет. Осевшие сорбенты и агрегаты нефти воздействуют на бентос в течение 5 лет.</w:t>
      </w:r>
    </w:p>
    <w:bookmarkEnd w:id="104"/>
    <w:bookmarkStart w:name="z208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расчетах принято, что прямое воздействие растворенных нефтепродуктов в воде на фито- и зоопланктон ожидается в течение 1 года и до 5 лет в объеме дополнительного воздействия. Воздействие на донные организмы (бентос) 1+2 года на площади прямого воздействия и до 7 лет на площади дополнительного воздействия.</w:t>
      </w:r>
    </w:p>
    <w:bookmarkEnd w:id="105"/>
    <w:bookmarkStart w:name="z209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Расчет ущерба рыбным запасам</w:t>
      </w:r>
    </w:p>
    <w:bookmarkEnd w:id="106"/>
    <w:bookmarkStart w:name="z210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 вариант. Для расчета возможного вреда рыбным запасам при аварийном разливе 5 тонн дизельного использовались показатели розлива представленные в таблицах 5 и 6. </w:t>
      </w:r>
    </w:p>
    <w:bookmarkEnd w:id="107"/>
    <w:bookmarkStart w:name="z211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Согласно полученным оценкам, общий объем возможного поражения акватории пятном разлива дизельного топлива при наихудшем сценарии разлива может составить 1024999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площадь воздействия на донные организмы 3301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 что окажет негативное воздействие на морские биологические ресурсы акватории.</w:t>
      </w:r>
    </w:p>
    <w:bookmarkEnd w:id="108"/>
    <w:bookmarkStart w:name="z212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Большинство видов рыб чувствительны к изменению среды обитания и способны уйти из зоны сильного загрязнения, таким образом избежать последствий острой интоксикации и гибели. Гибель взрослых рыб в результате аварийного разлива дизельного топлива, для принятого сценария разлива, не ожидается, а денежный расчет вреда не производится.</w:t>
      </w:r>
    </w:p>
    <w:bookmarkEnd w:id="109"/>
    <w:bookmarkStart w:name="z213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Поскольку в результате аварийного разлива неизбежна гибель кормовых гидробионтов, ниже выполняется расчет компенсационных платежей за нанесение вреда рыбным ресурсам. В выполненных расчетах подразумевается наихудший вариант воздействия, то есть 100% гибель гидробионтов при многочасовом воздействии загрязнения. Данные для перевода биомассы кормовых организмов в рыбопродукцию использованы из методики для аварийных разливов нефти (приложение 2, приложение 4) представлены в таблице 8. Потери гидробионтов и перерасчет в рыбную продукцию представлены в таблице 9.</w:t>
      </w:r>
    </w:p>
    <w:bookmarkEnd w:id="1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