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7669" w14:textId="8e47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28 апреля 2017 года № 146. Зарегистрирован в Министерстве юстиции Республики Казахстан 25 мая 2017 года № 15140. Утратил силу приказом Министра экологии, геологии и природных ресурсов Республики Казахстан от 13 сентября 2021 года № 370.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13.09.2021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(зарегистрированный в Реестре государственной регистрации нормативных правовых актов за № 5741, опубликованный 14 августа 2009 года в газете "Юридическая газета" № 123 (1720))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Распределении объектов I категории</w:t>
      </w:r>
      <w:r>
        <w:rPr>
          <w:rFonts w:ascii="Times New Roman"/>
          <w:b w:val="false"/>
          <w:i w:val="false"/>
          <w:color w:val="000000"/>
          <w:sz w:val="28"/>
        </w:rPr>
        <w:t>,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утвержденном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подпункт 1) изложить в следующей редакции:</w:t>
      </w:r>
    </w:p>
    <w:bookmarkEnd w:id="4"/>
    <w:bookmarkStart w:name="z8" w:id="5"/>
    <w:p>
      <w:pPr>
        <w:spacing w:after="0"/>
        <w:ind w:left="0"/>
        <w:jc w:val="both"/>
      </w:pPr>
      <w:r>
        <w:rPr>
          <w:rFonts w:ascii="Times New Roman"/>
          <w:b w:val="false"/>
          <w:i w:val="false"/>
          <w:color w:val="000000"/>
          <w:sz w:val="28"/>
        </w:rPr>
        <w:t xml:space="preserve">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по основному производству (основной технологический процесс данного производства без вспомогательного производства) производственного объекта, относящегося к 1 классу опасности согласно санитарной классификации производственных объектов, (за исключением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проектов градостроительного планирования территорий, проектов генеральных планов города республиканского значения, столицы и городов областного значения с расчетной численностью населения свыше ста тысяч жителей, подлежащих утверждению Правительством Республики Казахстан или маслихатами областей, городов республиканского значения и столицы):</w:t>
      </w:r>
    </w:p>
    <w:bookmarkEnd w:id="5"/>
    <w:bookmarkStart w:name="z9" w:id="6"/>
    <w:p>
      <w:pPr>
        <w:spacing w:after="0"/>
        <w:ind w:left="0"/>
        <w:jc w:val="both"/>
      </w:pPr>
      <w:r>
        <w:rPr>
          <w:rFonts w:ascii="Times New Roman"/>
          <w:b w:val="false"/>
          <w:i w:val="false"/>
          <w:color w:val="000000"/>
          <w:sz w:val="28"/>
        </w:rPr>
        <w:t>
      химические производства;</w:t>
      </w:r>
    </w:p>
    <w:bookmarkEnd w:id="6"/>
    <w:bookmarkStart w:name="z10" w:id="7"/>
    <w:p>
      <w:pPr>
        <w:spacing w:after="0"/>
        <w:ind w:left="0"/>
        <w:jc w:val="both"/>
      </w:pPr>
      <w:r>
        <w:rPr>
          <w:rFonts w:ascii="Times New Roman"/>
          <w:b w:val="false"/>
          <w:i w:val="false"/>
          <w:color w:val="000000"/>
          <w:sz w:val="28"/>
        </w:rPr>
        <w:t>
      металлургические, машиностроительные и металлообрабатывающие объекты;</w:t>
      </w:r>
    </w:p>
    <w:bookmarkEnd w:id="7"/>
    <w:bookmarkStart w:name="z11" w:id="8"/>
    <w:p>
      <w:pPr>
        <w:spacing w:after="0"/>
        <w:ind w:left="0"/>
        <w:jc w:val="both"/>
      </w:pPr>
      <w:r>
        <w:rPr>
          <w:rFonts w:ascii="Times New Roman"/>
          <w:b w:val="false"/>
          <w:i w:val="false"/>
          <w:color w:val="000000"/>
          <w:sz w:val="28"/>
        </w:rPr>
        <w:t>
      объекты по разведке и добыче полезных ископаемых (за исключением общераспространенных полезных ископаемых) в казахстанском секторе Каспийского моря, добыче полезных ископаемых (кроме общераспространенных);</w:t>
      </w:r>
    </w:p>
    <w:bookmarkEnd w:id="8"/>
    <w:bookmarkStart w:name="z12" w:id="9"/>
    <w:p>
      <w:pPr>
        <w:spacing w:after="0"/>
        <w:ind w:left="0"/>
        <w:jc w:val="both"/>
      </w:pPr>
      <w:r>
        <w:rPr>
          <w:rFonts w:ascii="Times New Roman"/>
          <w:b w:val="false"/>
          <w:i w:val="false"/>
          <w:color w:val="000000"/>
          <w:sz w:val="28"/>
        </w:rPr>
        <w:t>
      строительная промышленность (производство цемента, а также местного цемента, производство асбеста и изделий из него);</w:t>
      </w:r>
    </w:p>
    <w:bookmarkEnd w:id="9"/>
    <w:bookmarkStart w:name="z13" w:id="10"/>
    <w:p>
      <w:pPr>
        <w:spacing w:after="0"/>
        <w:ind w:left="0"/>
        <w:jc w:val="both"/>
      </w:pPr>
      <w:r>
        <w:rPr>
          <w:rFonts w:ascii="Times New Roman"/>
          <w:b w:val="false"/>
          <w:i w:val="false"/>
          <w:color w:val="000000"/>
          <w:sz w:val="28"/>
        </w:rPr>
        <w:t>
      микробиологическая промышленность;</w:t>
      </w:r>
    </w:p>
    <w:bookmarkEnd w:id="10"/>
    <w:bookmarkStart w:name="z14" w:id="11"/>
    <w:p>
      <w:pPr>
        <w:spacing w:after="0"/>
        <w:ind w:left="0"/>
        <w:jc w:val="both"/>
      </w:pPr>
      <w:r>
        <w:rPr>
          <w:rFonts w:ascii="Times New Roman"/>
          <w:b w:val="false"/>
          <w:i w:val="false"/>
          <w:color w:val="000000"/>
          <w:sz w:val="28"/>
        </w:rPr>
        <w:t>
      производство электрической и тепловой энергии при сжигании минерального топлива (тепловые электростанции эквивалентной электрической мощности в 600 МВт и выше, использующие в качестве топлива уголь и мазут);";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xml:space="preserve">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по вспомогательному производству, относящегося к 1 классу опасности согласно санитарной классификации производственных объектов, за исключением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проектов градостроительного планирования территорий, проектов генеральных планов города республиканского значения, столицы и городов областного значения с расчетной численностью населения свыше ста тысяч жителей, подлежащих утверждению Правительством Республики Казахстан или маслихатами областей, городов республиканского значения и столицы;";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xml:space="preserve">
      "4)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производственных объектов, относящихся ко 2 классу опасности согласно санитарной классификации производственных объектов, за исключением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проектов градостроительного планирования территорий, проектов генеральных планов города республиканского значения, столицы и городов областного значения с расчетной численностью населения свыше ста тысяч жителей, подлежащих утверждению Правительством Республики Казахстан или маслихатами областей, городов республиканского значения и столицы;";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"6) проекты кратковременных работ на нефтяных месторождениях (кроме морских объектов), (капитальный ремонт скважин, гидродинамические исследования скважин, сейсморазведочные работы, проведение рекультивации нарушенных земель на нефтяных промыслах, переработка отходов нефтяной отрасли на установках) различными методами, строительство скважин;</w:t>
      </w:r>
    </w:p>
    <w:bookmarkEnd w:id="15"/>
    <w:bookmarkStart w:name="z23" w:id="16"/>
    <w:p>
      <w:pPr>
        <w:spacing w:after="0"/>
        <w:ind w:left="0"/>
        <w:jc w:val="both"/>
      </w:pPr>
      <w:r>
        <w:rPr>
          <w:rFonts w:ascii="Times New Roman"/>
          <w:b w:val="false"/>
          <w:i w:val="false"/>
          <w:color w:val="000000"/>
          <w:sz w:val="28"/>
        </w:rPr>
        <w:t>
      7) проекты по осуществлению поддерживающих операций работ в казахстанском секторе Каспийского моря - базы поддержки, причалы, полигоны, очистные сооружения;";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25" w:id="17"/>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w:t>
      </w:r>
    </w:p>
    <w:bookmarkEnd w:id="17"/>
    <w:bookmarkStart w:name="z26"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7" w:id="1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9"/>
    <w:bookmarkStart w:name="z28" w:id="2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20"/>
    <w:bookmarkStart w:name="z29" w:id="21"/>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21"/>
    <w:bookmarkStart w:name="z30" w:id="2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22"/>
    <w:bookmarkStart w:name="z31"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3"/>
    <w:bookmarkStart w:name="z32"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